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2"/>
          <w:rFonts w:hint="eastAsia" w:ascii="楷体" w:hAnsi="楷体" w:eastAsia="楷体"/>
          <w:spacing w:val="-4"/>
          <w:sz w:val="32"/>
          <w:szCs w:val="32"/>
        </w:rPr>
        <w:t>202</w:t>
      </w:r>
      <w:r>
        <w:rPr>
          <w:rStyle w:val="22"/>
          <w:rFonts w:hint="eastAsia" w:ascii="楷体" w:hAnsi="楷体" w:eastAsia="楷体"/>
          <w:spacing w:val="-4"/>
          <w:sz w:val="32"/>
          <w:szCs w:val="32"/>
          <w:lang w:val="en-US" w:eastAsia="zh-CN"/>
        </w:rPr>
        <w:t>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2"/>
          <w:rFonts w:hint="eastAsia" w:ascii="楷体" w:hAnsi="楷体" w:eastAsia="楷体"/>
          <w:spacing w:val="-4"/>
          <w:sz w:val="32"/>
          <w:szCs w:val="32"/>
        </w:rPr>
        <w:t>信访工作人员补助类经费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2"/>
          <w:rFonts w:hint="eastAsia" w:ascii="楷体" w:hAnsi="楷体" w:eastAsia="楷体"/>
          <w:spacing w:val="-4"/>
          <w:sz w:val="28"/>
          <w:szCs w:val="28"/>
        </w:rPr>
        <w:t>新疆维吾尔自治区信访局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2"/>
          <w:rFonts w:hint="eastAsia" w:ascii="楷体" w:hAnsi="楷体" w:eastAsia="楷体"/>
          <w:spacing w:val="-4"/>
          <w:sz w:val="28"/>
          <w:szCs w:val="28"/>
        </w:rPr>
        <w:t>新疆维吾尔自治区信访局</w:t>
      </w:r>
    </w:p>
    <w:p>
      <w:pPr>
        <w:spacing w:line="540" w:lineRule="exact"/>
        <w:ind w:firstLine="900" w:firstLineChars="250"/>
        <w:rPr>
          <w:rFonts w:hint="default"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bookmarkStart w:id="0" w:name="_GoBack"/>
      <w:r>
        <w:rPr>
          <w:rStyle w:val="22"/>
          <w:rFonts w:hint="eastAsia" w:ascii="楷体" w:hAnsi="楷体" w:eastAsia="楷体"/>
          <w:spacing w:val="-4"/>
          <w:sz w:val="28"/>
          <w:szCs w:val="28"/>
          <w:lang w:val="en-US" w:eastAsia="zh-CN"/>
        </w:rPr>
        <w:t>陈冬红</w:t>
      </w:r>
      <w:bookmarkEnd w:id="0"/>
    </w:p>
    <w:p>
      <w:pPr>
        <w:spacing w:line="540" w:lineRule="exact"/>
        <w:ind w:left="273" w:firstLine="567"/>
        <w:rPr>
          <w:rStyle w:val="22"/>
          <w:rFonts w:ascii="楷体" w:hAnsi="楷体" w:eastAsia="楷体"/>
          <w:spacing w:val="-4"/>
          <w:sz w:val="32"/>
          <w:szCs w:val="32"/>
        </w:rPr>
      </w:pPr>
      <w:r>
        <w:rPr>
          <w:rFonts w:hint="eastAsia" w:hAnsi="宋体" w:eastAsia="仿宋_GB2312" w:cs="宋体"/>
          <w:kern w:val="0"/>
          <w:sz w:val="36"/>
          <w:szCs w:val="36"/>
        </w:rPr>
        <w:t>填报时间：</w:t>
      </w:r>
      <w:r>
        <w:rPr>
          <w:rStyle w:val="22"/>
          <w:rFonts w:hint="eastAsia" w:ascii="楷体" w:hAnsi="楷体" w:eastAsia="楷体"/>
          <w:spacing w:val="-4"/>
          <w:sz w:val="32"/>
          <w:szCs w:val="32"/>
        </w:rPr>
        <w:t>202</w:t>
      </w:r>
      <w:r>
        <w:rPr>
          <w:rStyle w:val="22"/>
          <w:rFonts w:hint="eastAsia" w:ascii="楷体" w:hAnsi="楷体" w:eastAsia="楷体"/>
          <w:spacing w:val="-4"/>
          <w:sz w:val="32"/>
          <w:szCs w:val="32"/>
          <w:lang w:val="en-US" w:eastAsia="zh-CN"/>
        </w:rPr>
        <w:t>3</w:t>
      </w:r>
      <w:r>
        <w:rPr>
          <w:rStyle w:val="22"/>
          <w:rFonts w:hint="eastAsia" w:ascii="楷体" w:hAnsi="楷体" w:eastAsia="楷体"/>
          <w:spacing w:val="-4"/>
          <w:sz w:val="32"/>
          <w:szCs w:val="32"/>
        </w:rPr>
        <w:t>年04月14日</w:t>
      </w:r>
    </w:p>
    <w:p>
      <w:pPr>
        <w:spacing w:line="700" w:lineRule="exact"/>
        <w:ind w:firstLine="708" w:firstLineChars="236"/>
        <w:jc w:val="left"/>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spacing w:line="540" w:lineRule="exact"/>
        <w:ind w:firstLine="640"/>
        <w:rPr>
          <w:rStyle w:val="22"/>
          <w:rFonts w:hint="eastAsia"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一、基本情况</w:t>
      </w:r>
    </w:p>
    <w:p>
      <w:pPr>
        <w:spacing w:line="540" w:lineRule="exact"/>
        <w:ind w:firstLine="567"/>
        <w:rPr>
          <w:rStyle w:val="22"/>
          <w:rFonts w:ascii="楷体" w:hAnsi="楷体" w:eastAsia="楷体"/>
          <w:spacing w:val="-4"/>
          <w:sz w:val="32"/>
          <w:szCs w:val="32"/>
        </w:rPr>
      </w:pPr>
      <w:r>
        <w:rPr>
          <w:rStyle w:val="22"/>
          <w:rFonts w:hint="eastAsia" w:ascii="楷体" w:hAnsi="楷体" w:eastAsia="楷体"/>
          <w:spacing w:val="-4"/>
          <w:sz w:val="32"/>
          <w:szCs w:val="32"/>
        </w:rPr>
        <w:t>（一）项目概况。包括项目背景、主要内容及实施情况、资金投入和使用情况等。</w:t>
      </w:r>
    </w:p>
    <w:p>
      <w:pPr>
        <w:spacing w:line="540" w:lineRule="exact"/>
        <w:ind w:firstLine="567"/>
        <w:rPr>
          <w:rFonts w:hint="eastAsia" w:ascii="仿宋_GB2312" w:hAnsi="仿宋_GB2312" w:eastAsia="仿宋_GB2312" w:cs="仿宋_GB2312"/>
          <w:color w:val="auto"/>
          <w:kern w:val="2"/>
          <w:sz w:val="32"/>
          <w:szCs w:val="32"/>
          <w:lang w:val="en-US" w:eastAsia="zh-CN" w:bidi="ar-SA"/>
        </w:rPr>
      </w:pPr>
      <w:r>
        <w:rPr>
          <w:rStyle w:val="22"/>
          <w:rFonts w:hint="eastAsia" w:ascii="楷体" w:hAnsi="楷体" w:eastAsia="楷体"/>
          <w:spacing w:val="-4"/>
          <w:sz w:val="32"/>
          <w:szCs w:val="32"/>
        </w:rPr>
        <w:t>（一）项目概况项目背景：</w:t>
      </w:r>
      <w:r>
        <w:rPr>
          <w:rFonts w:hint="eastAsia" w:ascii="仿宋_GB2312" w:hAnsi="仿宋_GB2312" w:eastAsia="仿宋_GB2312" w:cs="仿宋_GB2312"/>
          <w:color w:val="auto"/>
          <w:kern w:val="2"/>
          <w:sz w:val="32"/>
          <w:szCs w:val="32"/>
          <w:lang w:val="en-US" w:eastAsia="zh-CN" w:bidi="ar-SA"/>
        </w:rPr>
        <w:t>信访工作人员补助类经费，用此专项经费保障信访干部误餐及联防队员午餐费及装备购置等经费支出，切实提高了信访干部工作的积极性和主动性。不断完善体制机制，创新思路举措，夯实基层基础，着力破解信访难题，狠抓工作落实，有效地推动了一大批信访问题的解决，维护了群众合法权益，促进了社会和谐稳定。围绕中央和自治区关于信访工作的一系列决策部署，强化措施，狠抓落实，解决了大量群众最关心、最直接、最现实的利益问题，全区信访形势总体平稳可控向好,联防队员促进自治区党委、政府周边社会稳定。项目主要内容：为及时处置集体上访、非正常上访和群体性事件，教育和疏导信访群众，主要用于联防队员的伙食补助、生活用品（药品、饮用水）劳务报酬，慰问、冬季工作服和误餐补助。实施情况：2022年，信访工作人员补助项目经费50万元。主要用于联防队员的伙食补助相关支出。按照《自治区信访局财务管理办法》及局党组会议制度执行，严格落实“三重一大”事项管理规定，涉及经费使用的，均按程序报请驻政法委纪检组派员列席会议，集体讨论，逐一表态通过。切实做到“花钱必问效、无效必问责”。在实施过程中，按照“有多少钱、办多少事”的原则管理使用项目资金，严格控制审批、支付流程，不断健全预算管理体系，提升预算管理水平，确保各项工作的正常开展和运行。资金投入和使用情况：该项目资金投入50万元，资金来源为一般公共预算拨款；2022年12月31日前完成预算执行，预算完成率98.32%。</w:t>
      </w:r>
    </w:p>
    <w:p>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（二）项目绩效目标。包括总体目标和阶段性目标。</w:t>
      </w:r>
    </w:p>
    <w:p>
      <w:pPr>
        <w:spacing w:line="540" w:lineRule="exact"/>
        <w:ind w:firstLine="567"/>
        <w:rPr>
          <w:rFonts w:hint="eastAsia" w:ascii="仿宋_GB2312" w:hAnsi="仿宋_GB2312" w:eastAsia="仿宋_GB2312" w:cs="仿宋_GB2312"/>
          <w:color w:val="auto"/>
          <w:kern w:val="2"/>
          <w:sz w:val="32"/>
          <w:szCs w:val="32"/>
          <w:lang w:val="en-US" w:eastAsia="zh-CN" w:bidi="ar-SA"/>
        </w:rPr>
      </w:pPr>
      <w:r>
        <w:rPr>
          <w:rStyle w:val="22"/>
          <w:rFonts w:hint="eastAsia" w:ascii="楷体" w:hAnsi="楷体" w:eastAsia="楷体"/>
          <w:spacing w:val="-4"/>
          <w:sz w:val="32"/>
          <w:szCs w:val="32"/>
        </w:rPr>
        <w:t>项目绩效总目标：</w:t>
      </w:r>
      <w:r>
        <w:rPr>
          <w:rFonts w:hint="eastAsia" w:ascii="仿宋_GB2312" w:hAnsi="仿宋_GB2312" w:eastAsia="仿宋_GB2312" w:cs="仿宋_GB2312"/>
          <w:color w:val="auto"/>
          <w:kern w:val="2"/>
          <w:sz w:val="32"/>
          <w:szCs w:val="32"/>
          <w:lang w:val="en-US" w:eastAsia="zh-CN" w:bidi="ar-SA"/>
        </w:rPr>
        <w:t>自治区信访局用此专项经费保障信访干部误餐及联防队员午餐费及装备购置等经费支出，切实提高了信访干部工作的积极性和主动性。不断完善体制机制，创新思路举措，夯实基层基础，着力破解信访难题，狠抓工作落实，有效地推动了一大批信访问题的解决，维护了群众合法权益，促进了社会和谐稳定。围绕中央和自治区关于信访工作的一系列决策部署，强化措施，狠抓落实，解决了大量群众最关心、最直接、最现实的利益问题，全区信访形势总体平稳可控向好,联防队员促进自治区党委、政府周边社会稳定。</w:t>
      </w:r>
    </w:p>
    <w:p>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二、</w:t>
      </w:r>
      <w:r>
        <w:rPr>
          <w:rStyle w:val="22"/>
          <w:rFonts w:hint="eastAsia"/>
          <w:spacing w:val="-4"/>
          <w:sz w:val="32"/>
          <w:szCs w:val="32"/>
        </w:rPr>
        <w:t>绩效评价工作开展情况</w:t>
      </w:r>
    </w:p>
    <w:p>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1、绩效评价目的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通过绩效评价，客观地评判项目的管理绩效，了解和掌握</w:t>
      </w:r>
      <w:r>
        <w:rPr>
          <w:rFonts w:hint="eastAsia" w:ascii="仿宋_GB2312" w:hAnsi="仿宋" w:eastAsia="仿宋_GB2312"/>
          <w:sz w:val="32"/>
          <w:szCs w:val="32"/>
          <w:lang w:eastAsia="zh-CN"/>
        </w:rPr>
        <w:t>自治区信访业务智能辅助系统建设一期项目</w:t>
      </w:r>
      <w:r>
        <w:rPr>
          <w:rStyle w:val="22"/>
          <w:rFonts w:hint="eastAsia" w:ascii="仿宋_GB2312" w:hAnsi="楷体" w:eastAsia="仿宋_GB2312"/>
          <w:b w:val="0"/>
          <w:spacing w:val="-4"/>
          <w:sz w:val="32"/>
          <w:szCs w:val="32"/>
        </w:rPr>
        <w:t>资金的具体情况，评价项目资金安排的科学性、合理性、规范性和资金的使用成效，及时总结项目管理经验，完善项目管理办法，提高项目管理水平和资金使用效益。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2、绩效评价对象</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hint="eastAsia" w:ascii="仿宋_GB2312" w:hAnsi="楷体" w:eastAsia="仿宋_GB2312" w:cs="Times New Roman"/>
          <w:b w:val="0"/>
          <w:spacing w:val="-4"/>
          <w:sz w:val="32"/>
          <w:szCs w:val="32"/>
          <w:lang w:val="en-US" w:eastAsia="zh-CN"/>
        </w:rPr>
      </w:pPr>
      <w:r>
        <w:rPr>
          <w:rStyle w:val="22"/>
          <w:rFonts w:hint="eastAsia" w:ascii="仿宋_GB2312" w:hAnsi="楷体" w:eastAsia="仿宋_GB2312" w:cs="Times New Roman"/>
          <w:b w:val="0"/>
          <w:spacing w:val="-4"/>
          <w:sz w:val="32"/>
          <w:szCs w:val="32"/>
          <w:lang w:val="en-US" w:eastAsia="zh-CN"/>
        </w:rPr>
        <w:t>信访工作人员。</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3、绩效评价范围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本次评价从项目决策（包括绩效目标、决策过程）、项目管理（包括项目资金、项目实施）、项目产出（包括项目产出数量、产出质量、产出时效和产出成本）项目效益四个维度进行评价，评价核心为专项资金的支出完成情况和效果，包括用户数量、 矛盾化解率、隐患消除情况</w:t>
      </w:r>
      <w:r>
        <w:rPr>
          <w:rStyle w:val="22"/>
          <w:rFonts w:hint="eastAsia" w:ascii="仿宋_GB2312" w:hAnsi="楷体" w:eastAsia="仿宋_GB2312"/>
          <w:b w:val="0"/>
          <w:spacing w:val="-4"/>
          <w:sz w:val="32"/>
          <w:szCs w:val="32"/>
          <w:lang w:eastAsia="zh-CN"/>
        </w:rPr>
        <w:t>、</w:t>
      </w:r>
      <w:r>
        <w:rPr>
          <w:rStyle w:val="22"/>
          <w:rFonts w:hint="eastAsia" w:ascii="仿宋_GB2312" w:hAnsi="楷体" w:eastAsia="仿宋_GB2312"/>
          <w:b w:val="0"/>
          <w:spacing w:val="-4"/>
          <w:sz w:val="32"/>
          <w:szCs w:val="32"/>
        </w:rPr>
        <w:t>业务水平提升率</w:t>
      </w:r>
      <w:r>
        <w:rPr>
          <w:rStyle w:val="22"/>
          <w:rFonts w:hint="eastAsia" w:ascii="仿宋_GB2312" w:hAnsi="楷体" w:eastAsia="仿宋_GB2312"/>
          <w:b w:val="0"/>
          <w:spacing w:val="-4"/>
          <w:sz w:val="32"/>
          <w:szCs w:val="32"/>
          <w:lang w:eastAsia="zh-CN"/>
        </w:rPr>
        <w:t>和信访干部满意度</w:t>
      </w:r>
      <w:r>
        <w:rPr>
          <w:rStyle w:val="22"/>
          <w:rFonts w:hint="eastAsia" w:ascii="仿宋_GB2312" w:hAnsi="楷体" w:eastAsia="仿宋_GB2312"/>
          <w:b w:val="0"/>
          <w:spacing w:val="-4"/>
          <w:sz w:val="32"/>
          <w:szCs w:val="32"/>
        </w:rPr>
        <w:t>。</w:t>
      </w:r>
    </w:p>
    <w:p>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w:t>
      </w:r>
      <w:r>
        <w:rPr>
          <w:rStyle w:val="22"/>
          <w:rFonts w:hint="eastAsia" w:ascii="仿宋_GB2312" w:hAnsi="楷体" w:eastAsia="仿宋_GB2312"/>
          <w:b w:val="0"/>
          <w:spacing w:val="-4"/>
          <w:sz w:val="32"/>
          <w:szCs w:val="32"/>
          <w:lang w:val="en-US" w:eastAsia="zh-CN"/>
        </w:rPr>
        <w:t>1</w:t>
      </w:r>
      <w:r>
        <w:rPr>
          <w:rStyle w:val="22"/>
          <w:rFonts w:hint="eastAsia" w:ascii="仿宋_GB2312" w:hAnsi="楷体" w:eastAsia="仿宋_GB2312"/>
          <w:b w:val="0"/>
          <w:spacing w:val="-4"/>
          <w:sz w:val="32"/>
          <w:szCs w:val="32"/>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w:t>
      </w:r>
      <w:r>
        <w:rPr>
          <w:rStyle w:val="22"/>
          <w:rFonts w:hint="eastAsia" w:ascii="仿宋_GB2312" w:hAnsi="楷体" w:eastAsia="仿宋_GB2312"/>
          <w:b w:val="0"/>
          <w:spacing w:val="-4"/>
          <w:sz w:val="32"/>
          <w:szCs w:val="32"/>
          <w:lang w:val="en-US" w:eastAsia="zh-CN"/>
        </w:rPr>
        <w:t>2</w:t>
      </w:r>
      <w:r>
        <w:rPr>
          <w:rStyle w:val="22"/>
          <w:rFonts w:hint="eastAsia" w:ascii="仿宋_GB2312" w:hAnsi="楷体" w:eastAsia="仿宋_GB2312"/>
          <w:b w:val="0"/>
          <w:spacing w:val="-4"/>
          <w:sz w:val="32"/>
          <w:szCs w:val="32"/>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w:t>
      </w:r>
      <w:r>
        <w:rPr>
          <w:rStyle w:val="22"/>
          <w:rFonts w:hint="eastAsia" w:ascii="仿宋_GB2312" w:hAnsi="楷体" w:eastAsia="仿宋_GB2312"/>
          <w:b w:val="0"/>
          <w:spacing w:val="-4"/>
          <w:sz w:val="32"/>
          <w:szCs w:val="32"/>
          <w:lang w:val="en-US" w:eastAsia="zh-CN"/>
        </w:rPr>
        <w:t>3</w:t>
      </w:r>
      <w:r>
        <w:rPr>
          <w:rStyle w:val="22"/>
          <w:rFonts w:hint="eastAsia" w:ascii="仿宋_GB2312" w:hAnsi="楷体" w:eastAsia="仿宋_GB2312"/>
          <w:b w:val="0"/>
          <w:spacing w:val="-4"/>
          <w:sz w:val="32"/>
          <w:szCs w:val="32"/>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hint="eastAsia" w:ascii="仿宋_GB2312" w:hAnsi="楷体" w:eastAsia="仿宋_GB2312"/>
          <w:b w:val="0"/>
          <w:spacing w:val="-4"/>
          <w:sz w:val="32"/>
          <w:szCs w:val="32"/>
        </w:rPr>
      </w:pPr>
      <w:r>
        <w:rPr>
          <w:rStyle w:val="22"/>
          <w:rFonts w:hint="eastAsia" w:ascii="仿宋_GB2312" w:hAnsi="楷体" w:eastAsia="仿宋_GB2312"/>
          <w:b w:val="0"/>
          <w:spacing w:val="-4"/>
          <w:sz w:val="32"/>
          <w:szCs w:val="32"/>
        </w:rPr>
        <w:t>（</w:t>
      </w:r>
      <w:r>
        <w:rPr>
          <w:rStyle w:val="22"/>
          <w:rFonts w:hint="eastAsia" w:ascii="仿宋_GB2312" w:hAnsi="楷体" w:eastAsia="仿宋_GB2312"/>
          <w:b w:val="0"/>
          <w:spacing w:val="-4"/>
          <w:sz w:val="32"/>
          <w:szCs w:val="32"/>
          <w:lang w:val="en-US" w:eastAsia="zh-CN"/>
        </w:rPr>
        <w:t>4</w:t>
      </w:r>
      <w:r>
        <w:rPr>
          <w:rStyle w:val="22"/>
          <w:rFonts w:hint="eastAsia" w:ascii="仿宋_GB2312" w:hAnsi="楷体" w:eastAsia="仿宋_GB2312"/>
          <w:b w:val="0"/>
          <w:spacing w:val="-4"/>
          <w:sz w:val="32"/>
          <w:szCs w:val="32"/>
        </w:rPr>
        <w:t>）公开透明。绩效评价结果应依法依规公开，并自觉接受社会监督。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hint="eastAsia" w:ascii="仿宋_GB2312" w:hAnsi="楷体" w:eastAsia="仿宋_GB2312"/>
          <w:b w:val="0"/>
          <w:spacing w:val="-4"/>
          <w:sz w:val="32"/>
          <w:szCs w:val="32"/>
        </w:rPr>
      </w:pPr>
      <w:r>
        <w:rPr>
          <w:rStyle w:val="22"/>
          <w:rFonts w:hint="eastAsia" w:ascii="仿宋_GB2312" w:hAnsi="楷体" w:eastAsia="仿宋_GB2312"/>
          <w:b w:val="0"/>
          <w:spacing w:val="-4"/>
          <w:sz w:val="32"/>
          <w:szCs w:val="32"/>
        </w:rPr>
        <w:t>2、评价指标体系</w:t>
      </w:r>
    </w:p>
    <w:p>
      <w:pPr>
        <w:pStyle w:val="2"/>
        <w:rPr>
          <w:rStyle w:val="22"/>
          <w:rFonts w:hint="eastAsia" w:ascii="仿宋_GB2312" w:hAnsi="楷体" w:eastAsia="仿宋_GB2312"/>
          <w:b w:val="0"/>
          <w:spacing w:val="-4"/>
          <w:sz w:val="32"/>
          <w:szCs w:val="32"/>
        </w:rPr>
      </w:pPr>
    </w:p>
    <w:p>
      <w:pPr>
        <w:pStyle w:val="2"/>
        <w:rPr>
          <w:rStyle w:val="22"/>
          <w:rFonts w:hint="eastAsia" w:ascii="仿宋_GB2312" w:hAnsi="楷体" w:eastAsia="仿宋_GB2312"/>
          <w:b w:val="0"/>
          <w:spacing w:val="-4"/>
          <w:sz w:val="32"/>
          <w:szCs w:val="32"/>
        </w:rPr>
      </w:pPr>
    </w:p>
    <w:tbl>
      <w:tblPr>
        <w:tblStyle w:val="20"/>
        <w:tblW w:w="8488" w:type="dxa"/>
        <w:tblInd w:w="96" w:type="dxa"/>
        <w:tblLayout w:type="fixed"/>
        <w:tblCellMar>
          <w:top w:w="0" w:type="dxa"/>
          <w:left w:w="108" w:type="dxa"/>
          <w:bottom w:w="0" w:type="dxa"/>
          <w:right w:w="108" w:type="dxa"/>
        </w:tblCellMar>
      </w:tblPr>
      <w:tblGrid>
        <w:gridCol w:w="947"/>
        <w:gridCol w:w="1016"/>
        <w:gridCol w:w="964"/>
        <w:gridCol w:w="1222"/>
        <w:gridCol w:w="835"/>
        <w:gridCol w:w="2057"/>
        <w:gridCol w:w="1447"/>
      </w:tblGrid>
      <w:tr>
        <w:tblPrEx>
          <w:tblCellMar>
            <w:top w:w="0" w:type="dxa"/>
            <w:left w:w="108" w:type="dxa"/>
            <w:bottom w:w="0" w:type="dxa"/>
            <w:right w:w="108" w:type="dxa"/>
          </w:tblCellMar>
        </w:tblPrEx>
        <w:trPr>
          <w:trHeight w:val="402" w:hRule="atLeast"/>
        </w:trPr>
        <w:tc>
          <w:tcPr>
            <w:tcW w:w="8488" w:type="dxa"/>
            <w:gridSpan w:val="7"/>
            <w:tcBorders>
              <w:top w:val="single" w:color="auto" w:sz="4" w:space="0"/>
              <w:left w:val="single" w:color="auto" w:sz="4" w:space="0"/>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line="560" w:lineRule="exact"/>
              <w:jc w:val="center"/>
              <w:textAlignment w:val="bottom"/>
              <w:rPr>
                <w:rFonts w:ascii="宋体" w:hAnsi="宋体" w:cs="宋体"/>
                <w:b/>
                <w:bCs/>
                <w:color w:val="000000"/>
                <w:sz w:val="32"/>
                <w:szCs w:val="32"/>
              </w:rPr>
            </w:pPr>
            <w:r>
              <w:rPr>
                <w:rStyle w:val="50"/>
                <w:rFonts w:hint="default"/>
              </w:rPr>
              <w:t xml:space="preserve">项  目  支  出  绩  效  </w:t>
            </w:r>
            <w:r>
              <w:rPr>
                <w:rStyle w:val="50"/>
              </w:rPr>
              <w:t>目 标 表</w:t>
            </w:r>
          </w:p>
        </w:tc>
      </w:tr>
      <w:tr>
        <w:tblPrEx>
          <w:tblCellMar>
            <w:top w:w="0" w:type="dxa"/>
            <w:left w:w="108" w:type="dxa"/>
            <w:bottom w:w="0" w:type="dxa"/>
            <w:right w:w="108" w:type="dxa"/>
          </w:tblCellMar>
        </w:tblPrEx>
        <w:trPr>
          <w:trHeight w:val="705" w:hRule="atLeast"/>
        </w:trPr>
        <w:tc>
          <w:tcPr>
            <w:tcW w:w="94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320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eastAsia="zh-CN"/>
              </w:rPr>
              <w:t>自治区信访局</w:t>
            </w:r>
          </w:p>
        </w:tc>
        <w:tc>
          <w:tcPr>
            <w:tcW w:w="8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w:t>
            </w:r>
          </w:p>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名称</w:t>
            </w:r>
          </w:p>
        </w:tc>
        <w:tc>
          <w:tcPr>
            <w:tcW w:w="350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rPr>
              <w:t>信访工作人员补助类经费</w:t>
            </w:r>
          </w:p>
        </w:tc>
      </w:tr>
      <w:tr>
        <w:tblPrEx>
          <w:tblCellMar>
            <w:top w:w="0" w:type="dxa"/>
            <w:left w:w="108" w:type="dxa"/>
            <w:bottom w:w="0" w:type="dxa"/>
            <w:right w:w="108" w:type="dxa"/>
          </w:tblCellMar>
        </w:tblPrEx>
        <w:trPr>
          <w:trHeight w:val="402"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both"/>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年度资</w:t>
            </w:r>
          </w:p>
          <w:p>
            <w:pPr>
              <w:keepNext w:val="0"/>
              <w:keepLines w:val="0"/>
              <w:pageBreakBefore w:val="0"/>
              <w:widowControl/>
              <w:kinsoku/>
              <w:wordWrap/>
              <w:overflowPunct/>
              <w:topLinePunct w:val="0"/>
              <w:autoSpaceDE/>
              <w:autoSpaceDN/>
              <w:bidi w:val="0"/>
              <w:adjustRightInd/>
              <w:snapToGrid/>
              <w:spacing w:line="560" w:lineRule="exact"/>
              <w:jc w:val="both"/>
              <w:textAlignment w:val="center"/>
              <w:rPr>
                <w:rFonts w:ascii="宋体" w:hAnsi="宋体" w:cs="宋体"/>
                <w:color w:val="000000"/>
                <w:sz w:val="18"/>
                <w:szCs w:val="18"/>
              </w:rPr>
            </w:pPr>
            <w:r>
              <w:rPr>
                <w:rFonts w:hint="eastAsia" w:ascii="宋体" w:hAnsi="宋体" w:cs="宋体"/>
                <w:color w:val="000000"/>
                <w:kern w:val="0"/>
                <w:sz w:val="18"/>
                <w:szCs w:val="18"/>
              </w:rPr>
              <w:t>金总额：</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50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rPr>
              <w:t>50</w:t>
            </w: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855"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541" w:type="dxa"/>
            <w:gridSpan w:val="6"/>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560" w:lineRule="exact"/>
              <w:jc w:val="left"/>
              <w:textAlignment w:val="top"/>
              <w:rPr>
                <w:rFonts w:ascii="宋体" w:hAnsi="宋体" w:cs="宋体"/>
                <w:color w:val="000000"/>
                <w:sz w:val="18"/>
                <w:szCs w:val="18"/>
              </w:rPr>
            </w:pPr>
            <w:r>
              <w:rPr>
                <w:rFonts w:hint="eastAsia" w:ascii="宋体" w:hAnsi="宋体" w:cs="宋体"/>
                <w:color w:val="000000"/>
                <w:kern w:val="0"/>
                <w:sz w:val="18"/>
                <w:szCs w:val="18"/>
              </w:rPr>
              <w:t>自治区信访局用此专项经费保障信访干部误餐及联防队员午餐费及装备购置等经费支出，切实提高了信访干部工作的积极性和主动性。不断完善体制机制，创新思路举措，夯实基层基础，着力破解信访难题，狠抓工作落实，有效地推动了一大批信访问题的解决，维护了群众合法权益，促进了社会和谐稳定。围绕中央和自治区关于信访工作的一系列决策部署，强化措施，狠抓落实，解决了大量群众最关心、最直接、最现实的利益问题，全区信访形势总体平稳可控向好,联防队员促进自治区党委、政府周边社会稳定。</w:t>
            </w:r>
          </w:p>
        </w:tc>
      </w:tr>
      <w:tr>
        <w:tblPrEx>
          <w:tblCellMar>
            <w:top w:w="0" w:type="dxa"/>
            <w:left w:w="108" w:type="dxa"/>
            <w:bottom w:w="0" w:type="dxa"/>
            <w:right w:w="108" w:type="dxa"/>
          </w:tblCellMar>
        </w:tblPrEx>
        <w:trPr>
          <w:trHeight w:val="750" w:hRule="atLeast"/>
        </w:trPr>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指标值（包含数字及文字描述）</w:t>
            </w:r>
          </w:p>
        </w:tc>
      </w:tr>
      <w:tr>
        <w:tblPrEx>
          <w:tblCellMar>
            <w:top w:w="0" w:type="dxa"/>
            <w:left w:w="108" w:type="dxa"/>
            <w:bottom w:w="0" w:type="dxa"/>
            <w:right w:w="108" w:type="dxa"/>
          </w:tblCellMar>
        </w:tblPrEx>
        <w:trPr>
          <w:trHeight w:val="402" w:hRule="atLeast"/>
        </w:trPr>
        <w:tc>
          <w:tcPr>
            <w:tcW w:w="94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b w:val="0"/>
                <w:bCs w:val="0"/>
                <w:color w:val="000000"/>
                <w:sz w:val="18"/>
                <w:szCs w:val="18"/>
              </w:rPr>
            </w:pPr>
            <w:r>
              <w:rPr>
                <w:rFonts w:hint="eastAsia" w:ascii="宋体" w:hAnsi="宋体" w:cs="宋体"/>
                <w:b w:val="0"/>
                <w:bCs w:val="0"/>
                <w:color w:val="000000"/>
                <w:kern w:val="0"/>
                <w:sz w:val="18"/>
                <w:szCs w:val="18"/>
              </w:rPr>
              <w:t>产出指标</w:t>
            </w:r>
          </w:p>
        </w:tc>
        <w:tc>
          <w:tcPr>
            <w:tcW w:w="101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发放（补助）人数（人次）</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=60人</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b w:val="0"/>
                <w:bCs w:val="0"/>
                <w:color w:val="000000"/>
                <w:kern w:val="0"/>
                <w:sz w:val="18"/>
                <w:szCs w:val="18"/>
              </w:rPr>
            </w:pPr>
          </w:p>
        </w:tc>
        <w:tc>
          <w:tcPr>
            <w:tcW w:w="101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发放（补）次数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=12次</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sz w:val="18"/>
                <w:szCs w:val="18"/>
              </w:rPr>
              <w:t>质量指标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发放（补助）准确率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资金发放（补助）及时率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02" w:hRule="atLeast"/>
        </w:trPr>
        <w:tc>
          <w:tcPr>
            <w:tcW w:w="947"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p>
        </w:tc>
        <w:tc>
          <w:tcPr>
            <w:tcW w:w="1016"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每次发放（补助）资金数</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&lt;=4.16万元</w:t>
            </w:r>
          </w:p>
        </w:tc>
      </w:tr>
      <w:tr>
        <w:tblPrEx>
          <w:tblCellMar>
            <w:top w:w="0" w:type="dxa"/>
            <w:left w:w="108" w:type="dxa"/>
            <w:bottom w:w="0" w:type="dxa"/>
            <w:right w:w="108" w:type="dxa"/>
          </w:tblCellMar>
        </w:tblPrEx>
        <w:trPr>
          <w:trHeight w:val="402" w:hRule="atLeast"/>
        </w:trPr>
        <w:tc>
          <w:tcPr>
            <w:tcW w:w="9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ascii="宋体" w:hAnsi="宋体" w:cs="宋体"/>
                <w:b w:val="0"/>
                <w:bCs w:val="0"/>
                <w:color w:val="000000"/>
                <w:sz w:val="18"/>
                <w:szCs w:val="18"/>
              </w:rPr>
            </w:pPr>
            <w:r>
              <w:rPr>
                <w:rFonts w:hint="eastAsia" w:ascii="宋体" w:hAnsi="宋体" w:cs="宋体"/>
                <w:b w:val="0"/>
                <w:bCs w:val="0"/>
                <w:color w:val="000000"/>
                <w:sz w:val="18"/>
                <w:szCs w:val="18"/>
              </w:rPr>
              <w:t>效益指标</w:t>
            </w:r>
          </w:p>
        </w:tc>
        <w:tc>
          <w:tcPr>
            <w:tcW w:w="1016" w:type="dxa"/>
            <w:tcBorders>
              <w:top w:val="single" w:color="000000" w:sz="4" w:space="0"/>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highlight w:val="black"/>
              </w:rPr>
            </w:pPr>
            <w:r>
              <w:rPr>
                <w:rFonts w:hint="eastAsia" w:ascii="宋体" w:hAnsi="宋体" w:eastAsia="宋体" w:cs="宋体"/>
                <w:i w:val="0"/>
                <w:iCs w:val="0"/>
                <w:color w:val="000000"/>
                <w:kern w:val="0"/>
                <w:sz w:val="18"/>
                <w:szCs w:val="18"/>
                <w:u w:val="none"/>
                <w:lang w:val="en-US" w:eastAsia="zh-CN" w:bidi="ar"/>
              </w:rPr>
              <w:t>社会效益指标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矛盾纠纷调处率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r>
      <w:tr>
        <w:tblPrEx>
          <w:tblCellMar>
            <w:top w:w="0" w:type="dxa"/>
            <w:left w:w="108" w:type="dxa"/>
            <w:bottom w:w="0" w:type="dxa"/>
            <w:right w:w="108" w:type="dxa"/>
          </w:tblCellMar>
        </w:tblPrEx>
        <w:trPr>
          <w:trHeight w:val="402" w:hRule="atLeast"/>
        </w:trPr>
        <w:tc>
          <w:tcPr>
            <w:tcW w:w="947" w:type="dxa"/>
            <w:vMerge w:val="continue"/>
            <w:tcBorders>
              <w:left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tcBorders>
              <w:left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color w:val="000000"/>
                <w:kern w:val="0"/>
                <w:sz w:val="18"/>
                <w:szCs w:val="18"/>
                <w:highlight w:val="black"/>
              </w:rPr>
            </w:pPr>
            <w:r>
              <w:rPr>
                <w:rFonts w:hint="eastAsia" w:ascii="宋体" w:hAnsi="宋体" w:eastAsia="宋体" w:cs="宋体"/>
                <w:i w:val="0"/>
                <w:iCs w:val="0"/>
                <w:color w:val="000000"/>
                <w:kern w:val="0"/>
                <w:sz w:val="18"/>
                <w:szCs w:val="18"/>
                <w:u w:val="none"/>
                <w:lang w:val="en-US" w:eastAsia="zh-CN" w:bidi="ar"/>
              </w:rPr>
              <w:t>可持续影响指标</w:t>
            </w: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群体隐患消除率</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r>
      <w:tr>
        <w:tblPrEx>
          <w:tblCellMar>
            <w:top w:w="0" w:type="dxa"/>
            <w:left w:w="108" w:type="dxa"/>
            <w:bottom w:w="0" w:type="dxa"/>
            <w:right w:w="108" w:type="dxa"/>
          </w:tblCellMar>
        </w:tblPrEx>
        <w:trPr>
          <w:trHeight w:val="493" w:hRule="atLeast"/>
        </w:trPr>
        <w:tc>
          <w:tcPr>
            <w:tcW w:w="94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60" w:lineRule="exact"/>
              <w:jc w:val="left"/>
              <w:rPr>
                <w:rFonts w:hint="eastAsia" w:ascii="宋体" w:hAnsi="宋体" w:cs="宋体"/>
                <w:b w:val="0"/>
                <w:bCs w:val="0"/>
                <w:color w:val="000000"/>
                <w:sz w:val="18"/>
                <w:szCs w:val="18"/>
              </w:rPr>
            </w:pPr>
          </w:p>
        </w:tc>
        <w:tc>
          <w:tcPr>
            <w:tcW w:w="1016" w:type="dxa"/>
            <w:tcBorders>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center"/>
              <w:rPr>
                <w:rFonts w:hint="eastAsia" w:ascii="宋体" w:hAnsi="宋体" w:cs="宋体"/>
                <w:color w:val="000000"/>
                <w:kern w:val="0"/>
                <w:sz w:val="18"/>
                <w:szCs w:val="18"/>
              </w:rPr>
            </w:pPr>
          </w:p>
        </w:tc>
        <w:tc>
          <w:tcPr>
            <w:tcW w:w="3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信访工作人员满意度</w:t>
            </w:r>
          </w:p>
        </w:tc>
        <w:tc>
          <w:tcPr>
            <w:tcW w:w="35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r>
    </w:tbl>
    <w:p>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22"/>
          <w:rFonts w:ascii="仿宋_GB2312" w:hAnsi="楷体" w:eastAsia="仿宋_GB2312"/>
          <w:b w:val="0"/>
          <w:spacing w:val="-4"/>
          <w:sz w:val="32"/>
          <w:szCs w:val="32"/>
        </w:rPr>
      </w:pPr>
      <w:r>
        <w:rPr>
          <w:rStyle w:val="22"/>
          <w:rFonts w:hint="eastAsia" w:ascii="仿宋_GB2312" w:hAnsi="楷体" w:eastAsia="仿宋_GB2312"/>
          <w:b w:val="0"/>
          <w:spacing w:val="-4"/>
          <w:sz w:val="32"/>
          <w:szCs w:val="32"/>
        </w:rPr>
        <w:t>自治区信访局成立了部门绩效评价小组，结合</w:t>
      </w:r>
      <w:r>
        <w:rPr>
          <w:rStyle w:val="22"/>
          <w:rFonts w:hint="eastAsia" w:ascii="仿宋_GB2312" w:hAnsi="楷体" w:eastAsia="仿宋_GB2312"/>
          <w:b w:val="0"/>
          <w:spacing w:val="-4"/>
          <w:sz w:val="32"/>
          <w:szCs w:val="32"/>
          <w:lang w:eastAsia="zh-CN"/>
        </w:rPr>
        <w:t>信访</w:t>
      </w:r>
      <w:r>
        <w:rPr>
          <w:rStyle w:val="22"/>
          <w:rFonts w:hint="eastAsia" w:ascii="仿宋_GB2312" w:hAnsi="楷体" w:eastAsia="仿宋_GB2312"/>
          <w:b w:val="0"/>
          <w:spacing w:val="-4"/>
          <w:sz w:val="32"/>
          <w:szCs w:val="32"/>
        </w:rPr>
        <w:t>工作实际，紧紧围绕绩效管理工作要点，不断提升绩效管理工作质量。一是增强认识，夯实基础。</w:t>
      </w:r>
      <w:r>
        <w:rPr>
          <w:rStyle w:val="22"/>
          <w:rFonts w:hint="eastAsia" w:ascii="仿宋_GB2312" w:hAnsi="楷体" w:eastAsia="仿宋_GB2312"/>
          <w:b w:val="0"/>
          <w:spacing w:val="-4"/>
          <w:sz w:val="32"/>
          <w:szCs w:val="32"/>
          <w:lang w:eastAsia="zh-CN"/>
        </w:rPr>
        <w:t>处</w:t>
      </w:r>
      <w:r>
        <w:rPr>
          <w:rStyle w:val="22"/>
          <w:rFonts w:hint="eastAsia" w:ascii="仿宋_GB2312" w:hAnsi="楷体" w:eastAsia="仿宋_GB2312"/>
          <w:b w:val="0"/>
          <w:spacing w:val="-4"/>
          <w:sz w:val="32"/>
          <w:szCs w:val="32"/>
        </w:rPr>
        <w:t>室负责人对预算绩效管理工作进行专题研究部署，统筹协调全部室全力做好绩效管理基础工作，带头落实预算绩效管理工作，助推</w:t>
      </w:r>
      <w:r>
        <w:rPr>
          <w:rStyle w:val="22"/>
          <w:rFonts w:hint="eastAsia" w:ascii="仿宋_GB2312" w:hAnsi="楷体" w:eastAsia="仿宋_GB2312"/>
          <w:b w:val="0"/>
          <w:spacing w:val="-4"/>
          <w:sz w:val="32"/>
          <w:szCs w:val="32"/>
          <w:lang w:eastAsia="zh-CN"/>
        </w:rPr>
        <w:t>局</w:t>
      </w:r>
      <w:r>
        <w:rPr>
          <w:rStyle w:val="22"/>
          <w:rFonts w:hint="eastAsia" w:ascii="仿宋_GB2312" w:hAnsi="楷体" w:eastAsia="仿宋_GB2312"/>
          <w:b w:val="0"/>
          <w:spacing w:val="-4"/>
          <w:sz w:val="32"/>
          <w:szCs w:val="32"/>
        </w:rPr>
        <w:t>机关预算绩效管理工作得以顺利实施。二是精心组织，着力推进。及时调整绩效目标。按照绩效目标设定，坚持履行规定的程序和手续，确保相关项目资金合理使用，做到专款专用，严格审批，公开透明。</w:t>
      </w:r>
    </w:p>
    <w:p>
      <w:pPr>
        <w:spacing w:line="540" w:lineRule="exact"/>
        <w:ind w:firstLine="640"/>
        <w:rPr>
          <w:rStyle w:val="22"/>
          <w:rFonts w:hint="eastAsia" w:ascii="黑体" w:hAnsi="黑体" w:eastAsia="黑体"/>
          <w:b w:val="0"/>
          <w:spacing w:val="-4"/>
          <w:sz w:val="32"/>
          <w:szCs w:val="32"/>
        </w:rPr>
      </w:pPr>
      <w:r>
        <w:rPr>
          <w:rStyle w:val="22"/>
          <w:rFonts w:hint="eastAsia" w:ascii="黑体" w:hAnsi="黑体" w:eastAsia="黑体"/>
          <w:b w:val="0"/>
          <w:spacing w:val="-4"/>
          <w:sz w:val="32"/>
          <w:szCs w:val="32"/>
        </w:rPr>
        <w:t>三、</w:t>
      </w:r>
      <w:r>
        <w:rPr>
          <w:rStyle w:val="22"/>
          <w:rFonts w:hint="eastAsia"/>
          <w:spacing w:val="-4"/>
          <w:sz w:val="32"/>
          <w:szCs w:val="32"/>
        </w:rPr>
        <w:t>综合评价情况及评价结论</w:t>
      </w:r>
    </w:p>
    <w:p>
      <w:pPr>
        <w:spacing w:line="540" w:lineRule="exact"/>
        <w:ind w:firstLine="567"/>
        <w:rPr>
          <w:rStyle w:val="22"/>
          <w:rFonts w:hint="eastAsia" w:ascii="楷体" w:hAnsi="楷体" w:eastAsia="楷体"/>
          <w:spacing w:val="-4"/>
          <w:sz w:val="32"/>
          <w:szCs w:val="32"/>
        </w:rPr>
      </w:pPr>
      <w:r>
        <w:rPr>
          <w:rStyle w:val="22"/>
          <w:rFonts w:hint="eastAsia" w:ascii="仿宋_GB2312" w:hAnsi="楷体" w:eastAsia="仿宋_GB2312" w:cs="Times New Roman"/>
          <w:b w:val="0"/>
          <w:spacing w:val="-4"/>
          <w:sz w:val="32"/>
          <w:szCs w:val="32"/>
        </w:rPr>
        <w:t>自治区信访局信访业务项目经费经局绩效评价小组综合评价，得分为9</w:t>
      </w:r>
      <w:r>
        <w:rPr>
          <w:rStyle w:val="22"/>
          <w:rFonts w:hint="eastAsia" w:ascii="仿宋_GB2312" w:hAnsi="楷体" w:eastAsia="仿宋_GB2312" w:cs="Times New Roman"/>
          <w:b w:val="0"/>
          <w:spacing w:val="-4"/>
          <w:sz w:val="32"/>
          <w:szCs w:val="32"/>
          <w:lang w:val="en-US" w:eastAsia="zh-CN"/>
        </w:rPr>
        <w:t>9</w:t>
      </w:r>
      <w:r>
        <w:rPr>
          <w:rStyle w:val="22"/>
          <w:rFonts w:hint="eastAsia" w:ascii="仿宋_GB2312" w:hAnsi="楷体" w:eastAsia="仿宋_GB2312" w:cs="Times New Roman"/>
          <w:b w:val="0"/>
          <w:spacing w:val="-4"/>
          <w:sz w:val="32"/>
          <w:szCs w:val="32"/>
        </w:rPr>
        <w:t>分，评价等级为优秀。</w:t>
      </w:r>
    </w:p>
    <w:p>
      <w:pPr>
        <w:spacing w:line="540" w:lineRule="exact"/>
        <w:ind w:firstLine="640"/>
        <w:rPr>
          <w:rStyle w:val="22"/>
          <w:rFonts w:ascii="黑体" w:hAnsi="黑体" w:eastAsia="黑体"/>
        </w:rPr>
      </w:pPr>
      <w:r>
        <w:rPr>
          <w:rStyle w:val="22"/>
          <w:rFonts w:hint="eastAsia" w:ascii="黑体" w:hAnsi="黑体" w:eastAsia="黑体"/>
          <w:b w:val="0"/>
          <w:spacing w:val="-4"/>
          <w:sz w:val="32"/>
          <w:szCs w:val="32"/>
        </w:rPr>
        <w:t>四、</w:t>
      </w:r>
      <w:r>
        <w:rPr>
          <w:rStyle w:val="22"/>
          <w:rFonts w:hint="eastAsia"/>
          <w:spacing w:val="-4"/>
          <w:sz w:val="32"/>
          <w:szCs w:val="32"/>
        </w:rPr>
        <w:t>绩效评价指标分析</w:t>
      </w:r>
      <w:r>
        <w:rPr>
          <w:rStyle w:val="22"/>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1.立项依据充分性：项目立项符合国家法律法规、国民经济发展规划和相关政策；项目立项与部门职责范围相符，属于部门履职所需。立项程序规范性：项目按照规定的程序申请设立；审批文件、材料符合相关要求；事前已经过必要的可行性研究、绩效评估、集体决策。</w:t>
      </w:r>
    </w:p>
    <w:p>
      <w:pPr>
        <w:spacing w:line="540" w:lineRule="exact"/>
        <w:ind w:firstLine="567"/>
        <w:rPr>
          <w:rStyle w:val="22"/>
          <w:rFonts w:ascii="楷体" w:hAnsi="楷体" w:eastAsia="楷体"/>
          <w:spacing w:val="-4"/>
          <w:sz w:val="32"/>
          <w:szCs w:val="32"/>
        </w:rPr>
      </w:pPr>
      <w:r>
        <w:rPr>
          <w:rStyle w:val="22"/>
          <w:rFonts w:hint="eastAsia" w:ascii="仿宋_GB2312" w:hAnsi="楷体" w:eastAsia="仿宋_GB2312" w:cs="Times New Roman"/>
          <w:b w:val="0"/>
          <w:spacing w:val="-4"/>
          <w:sz w:val="32"/>
          <w:szCs w:val="32"/>
        </w:rPr>
        <w:t>2．绩效目标合理性：项目的绩效目标为“信访工作人员补助经费”。项目绩效目标细化分解为具体的绩效指标；可以通过清晰、可衡量的指标值予以体现项目绩效目标；项目目标任务数或计划数相对应。3．资金投入：预算编制科学性指标：预算编制经过科学论证；预算内容与项目内容相匹配；预算额度测算依据充分并按照标准编制；预算确定的项目资金数额与工作任务相匹配。资金分配合理性：项目预算资金分配有测算依据，与本单位项目资金需要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1.资金管理:资金到位率，项目资金财政已经全额拨付金，资金到位率100%,；预算执行率，项目资金实际执行</w:t>
      </w:r>
      <w:r>
        <w:rPr>
          <w:rStyle w:val="22"/>
          <w:rFonts w:hint="eastAsia" w:ascii="仿宋_GB2312" w:hAnsi="楷体" w:eastAsia="仿宋_GB2312" w:cs="Times New Roman"/>
          <w:b w:val="0"/>
          <w:spacing w:val="-4"/>
          <w:sz w:val="32"/>
          <w:szCs w:val="32"/>
          <w:lang w:val="en-US" w:eastAsia="zh-CN"/>
        </w:rPr>
        <w:t>49.16</w:t>
      </w:r>
      <w:r>
        <w:rPr>
          <w:rStyle w:val="22"/>
          <w:rFonts w:hint="eastAsia" w:ascii="仿宋_GB2312" w:hAnsi="楷体" w:eastAsia="仿宋_GB2312" w:cs="Times New Roman"/>
          <w:b w:val="0"/>
          <w:spacing w:val="-4"/>
          <w:sz w:val="32"/>
          <w:szCs w:val="32"/>
        </w:rPr>
        <w:t>万元，预算执行率</w:t>
      </w:r>
      <w:r>
        <w:rPr>
          <w:rStyle w:val="22"/>
          <w:rFonts w:hint="eastAsia" w:ascii="仿宋_GB2312" w:hAnsi="楷体" w:eastAsia="仿宋_GB2312" w:cs="Times New Roman"/>
          <w:b w:val="0"/>
          <w:spacing w:val="-4"/>
          <w:sz w:val="32"/>
          <w:szCs w:val="32"/>
          <w:lang w:val="en-US" w:eastAsia="zh-CN"/>
        </w:rPr>
        <w:t>98.32</w:t>
      </w:r>
      <w:r>
        <w:rPr>
          <w:rStyle w:val="22"/>
          <w:rFonts w:hint="eastAsia" w:ascii="仿宋_GB2312" w:hAnsi="楷体" w:eastAsia="仿宋_GB2312" w:cs="Times New Roman"/>
          <w:b w:val="0"/>
          <w:spacing w:val="-4"/>
          <w:sz w:val="32"/>
          <w:szCs w:val="32"/>
        </w:rPr>
        <w:t>%；资金使用合规性，项目资金符合国家财经法规和财务管理制度以及有关专项资金管理办法的规定；资金的拨付完整的审批程序和手续；符合项目预算批复规定的用途；不存在截留、挤占、挪用、虚列支出等情况。</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2.组织实施:管理制度健全,制度执行有效性。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1. 数量指标分析：项目实际完成率100%；</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2. 质量指标分析：项目预设指标为大于等于90%，实际完成情况为90%，项目无偏差，偏差值0；</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3. 时效指标分析：项目完成期限预设指标为202</w:t>
      </w:r>
      <w:r>
        <w:rPr>
          <w:rStyle w:val="22"/>
          <w:rFonts w:hint="eastAsia" w:ascii="仿宋_GB2312" w:hAnsi="楷体" w:eastAsia="仿宋_GB2312" w:cs="Times New Roman"/>
          <w:b w:val="0"/>
          <w:spacing w:val="-4"/>
          <w:sz w:val="32"/>
          <w:szCs w:val="32"/>
          <w:lang w:val="en-US" w:eastAsia="zh-CN"/>
        </w:rPr>
        <w:t>2</w:t>
      </w:r>
      <w:r>
        <w:rPr>
          <w:rStyle w:val="22"/>
          <w:rFonts w:hint="eastAsia" w:ascii="仿宋_GB2312" w:hAnsi="楷体" w:eastAsia="仿宋_GB2312" w:cs="Times New Roman"/>
          <w:b w:val="0"/>
          <w:spacing w:val="-4"/>
          <w:sz w:val="32"/>
          <w:szCs w:val="32"/>
        </w:rPr>
        <w:t>年12月31日，实际完成情况为202</w:t>
      </w:r>
      <w:r>
        <w:rPr>
          <w:rStyle w:val="22"/>
          <w:rFonts w:hint="eastAsia" w:ascii="仿宋_GB2312" w:hAnsi="楷体" w:eastAsia="仿宋_GB2312" w:cs="Times New Roman"/>
          <w:b w:val="0"/>
          <w:spacing w:val="-4"/>
          <w:sz w:val="32"/>
          <w:szCs w:val="32"/>
          <w:lang w:val="en-US" w:eastAsia="zh-CN"/>
        </w:rPr>
        <w:t>2</w:t>
      </w:r>
      <w:r>
        <w:rPr>
          <w:rStyle w:val="22"/>
          <w:rFonts w:hint="eastAsia" w:ascii="仿宋_GB2312" w:hAnsi="楷体" w:eastAsia="仿宋_GB2312" w:cs="Times New Roman"/>
          <w:b w:val="0"/>
          <w:spacing w:val="-4"/>
          <w:sz w:val="32"/>
          <w:szCs w:val="32"/>
        </w:rPr>
        <w:t>年12月31日，项目按规定及时完成，偏差值0；</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4. 成本指标分析：实现目标总支出预设指标为小于等于50万元，实际完成</w:t>
      </w:r>
      <w:r>
        <w:rPr>
          <w:rStyle w:val="22"/>
          <w:rFonts w:hint="eastAsia" w:ascii="仿宋_GB2312" w:hAnsi="楷体" w:eastAsia="仿宋_GB2312" w:cs="Times New Roman"/>
          <w:b w:val="0"/>
          <w:spacing w:val="-4"/>
          <w:sz w:val="32"/>
          <w:szCs w:val="32"/>
          <w:lang w:val="en-US" w:eastAsia="zh-CN"/>
        </w:rPr>
        <w:t>49.16</w:t>
      </w:r>
      <w:r>
        <w:rPr>
          <w:rStyle w:val="22"/>
          <w:rFonts w:hint="eastAsia" w:ascii="仿宋_GB2312" w:hAnsi="楷体" w:eastAsia="仿宋_GB2312" w:cs="Times New Roman"/>
          <w:b w:val="0"/>
          <w:spacing w:val="-4"/>
          <w:sz w:val="32"/>
          <w:szCs w:val="32"/>
        </w:rPr>
        <w:t>万元，偏差值</w:t>
      </w:r>
      <w:r>
        <w:rPr>
          <w:rStyle w:val="22"/>
          <w:rFonts w:hint="eastAsia" w:ascii="仿宋_GB2312" w:hAnsi="楷体" w:eastAsia="仿宋_GB2312" w:cs="Times New Roman"/>
          <w:b w:val="0"/>
          <w:spacing w:val="-4"/>
          <w:sz w:val="32"/>
          <w:szCs w:val="32"/>
          <w:lang w:val="en-US" w:eastAsia="zh-CN"/>
        </w:rPr>
        <w:t>1.68%</w:t>
      </w:r>
      <w:r>
        <w:rPr>
          <w:rStyle w:val="22"/>
          <w:rFonts w:hint="eastAsia" w:ascii="仿宋_GB2312" w:hAnsi="楷体" w:eastAsia="仿宋_GB2312" w:cs="Times New Roman"/>
          <w:b w:val="0"/>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项目实施所产生的效益有很好的社会效益并可持续影响。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联防队员满意率达到100%。</w:t>
      </w:r>
    </w:p>
    <w:p>
      <w:pPr>
        <w:spacing w:line="540" w:lineRule="exact"/>
        <w:ind w:firstLine="640"/>
        <w:rPr>
          <w:rStyle w:val="22"/>
          <w:rFonts w:ascii="黑体" w:hAnsi="黑体" w:eastAsia="黑体"/>
          <w:spacing w:val="-4"/>
          <w:sz w:val="32"/>
          <w:szCs w:val="32"/>
        </w:rPr>
      </w:pPr>
      <w:r>
        <w:rPr>
          <w:rStyle w:val="22"/>
          <w:rFonts w:hint="eastAsia" w:ascii="黑体" w:hAnsi="黑体" w:eastAsia="黑体"/>
          <w:b w:val="0"/>
          <w:spacing w:val="-4"/>
          <w:sz w:val="32"/>
          <w:szCs w:val="32"/>
        </w:rPr>
        <w:t>五、</w:t>
      </w:r>
      <w:r>
        <w:rPr>
          <w:rStyle w:val="22"/>
          <w:rFonts w:ascii="黑体" w:hAnsi="黑体" w:eastAsia="黑体"/>
          <w:b w:val="0"/>
          <w:spacing w:val="-4"/>
          <w:sz w:val="32"/>
          <w:szCs w:val="32"/>
        </w:rPr>
        <w:t>预算执行进度与绩效指标偏差</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实现目标总支出预设指标为小于等于50万元，实际完成</w:t>
      </w:r>
      <w:r>
        <w:rPr>
          <w:rStyle w:val="22"/>
          <w:rFonts w:hint="eastAsia" w:ascii="仿宋_GB2312" w:hAnsi="楷体" w:eastAsia="仿宋_GB2312" w:cs="Times New Roman"/>
          <w:b w:val="0"/>
          <w:spacing w:val="-4"/>
          <w:sz w:val="32"/>
          <w:szCs w:val="32"/>
          <w:lang w:val="en-US" w:eastAsia="zh-CN"/>
        </w:rPr>
        <w:t>49.16</w:t>
      </w:r>
      <w:r>
        <w:rPr>
          <w:rStyle w:val="22"/>
          <w:rFonts w:hint="eastAsia" w:ascii="仿宋_GB2312" w:hAnsi="楷体" w:eastAsia="仿宋_GB2312" w:cs="Times New Roman"/>
          <w:b w:val="0"/>
          <w:spacing w:val="-4"/>
          <w:sz w:val="32"/>
          <w:szCs w:val="32"/>
        </w:rPr>
        <w:t>万元，偏差值</w:t>
      </w:r>
      <w:r>
        <w:rPr>
          <w:rStyle w:val="22"/>
          <w:rFonts w:hint="eastAsia" w:ascii="仿宋_GB2312" w:hAnsi="楷体" w:eastAsia="仿宋_GB2312" w:cs="Times New Roman"/>
          <w:b w:val="0"/>
          <w:spacing w:val="-4"/>
          <w:sz w:val="32"/>
          <w:szCs w:val="32"/>
          <w:lang w:val="en-US" w:eastAsia="zh-CN"/>
        </w:rPr>
        <w:t>1.68%</w:t>
      </w:r>
      <w:r>
        <w:rPr>
          <w:rStyle w:val="22"/>
          <w:rFonts w:hint="eastAsia" w:ascii="仿宋_GB2312" w:hAnsi="楷体" w:eastAsia="仿宋_GB2312" w:cs="Times New Roman"/>
          <w:b w:val="0"/>
          <w:spacing w:val="-4"/>
          <w:sz w:val="32"/>
          <w:szCs w:val="32"/>
        </w:rPr>
        <w:t>。</w:t>
      </w:r>
    </w:p>
    <w:p>
      <w:pPr>
        <w:spacing w:line="540" w:lineRule="exact"/>
        <w:ind w:firstLine="640"/>
        <w:rPr>
          <w:rStyle w:val="22"/>
          <w:rFonts w:ascii="黑体" w:hAnsi="黑体" w:eastAsia="黑体"/>
          <w:spacing w:val="-4"/>
          <w:sz w:val="32"/>
          <w:szCs w:val="32"/>
        </w:rPr>
      </w:pPr>
      <w:r>
        <w:rPr>
          <w:rStyle w:val="22"/>
          <w:rFonts w:hint="eastAsia" w:ascii="黑体" w:hAnsi="黑体" w:eastAsia="黑体"/>
          <w:b w:val="0"/>
          <w:spacing w:val="-4"/>
          <w:sz w:val="32"/>
          <w:szCs w:val="32"/>
        </w:rPr>
        <w:t>六、</w:t>
      </w:r>
      <w:r>
        <w:rPr>
          <w:rStyle w:val="22"/>
          <w:rFonts w:ascii="黑体" w:hAnsi="黑体" w:eastAsia="黑体"/>
          <w:b w:val="0"/>
          <w:spacing w:val="-4"/>
          <w:sz w:val="32"/>
          <w:szCs w:val="32"/>
        </w:rPr>
        <w:t>主要经验及做法、存在的问题及原因分析</w:t>
      </w:r>
    </w:p>
    <w:p>
      <w:pPr>
        <w:spacing w:line="540" w:lineRule="exact"/>
        <w:ind w:firstLine="567"/>
        <w:rPr>
          <w:rStyle w:val="22"/>
          <w:rFonts w:hint="eastAsia" w:ascii="仿宋_GB2312" w:hAnsi="楷体" w:eastAsia="仿宋_GB2312" w:cs="Times New Roman"/>
          <w:b w:val="0"/>
          <w:spacing w:val="-4"/>
          <w:sz w:val="32"/>
          <w:szCs w:val="32"/>
          <w:lang w:val="en-US" w:eastAsia="zh-CN"/>
        </w:rPr>
      </w:pPr>
      <w:r>
        <w:rPr>
          <w:rStyle w:val="22"/>
          <w:rFonts w:hint="eastAsia" w:ascii="仿宋_GB2312" w:hAnsi="楷体" w:eastAsia="仿宋_GB2312" w:cs="Times New Roman"/>
          <w:b w:val="0"/>
          <w:spacing w:val="-4"/>
          <w:sz w:val="32"/>
          <w:szCs w:val="32"/>
        </w:rPr>
        <w:t>（一）主要经验及做法一是严格执行相关财经法律法规，项目经费专款专用，抓好项目实施和绩效评价；二是全面实行项目预算绩效管理，将绩效理念和方法深度融入预算编制、执行、监督全过程，积极构建事前事中事后绩效管理闭环系统。经费预算和实施力求突出业务工作重点，坚持问题导向，聚集社会稳定和长治久安总目标，提升社会关注度、保证项目实施效果。</w:t>
      </w:r>
      <w:r>
        <w:rPr>
          <w:rStyle w:val="22"/>
          <w:rFonts w:hint="eastAsia" w:ascii="仿宋_GB2312" w:hAnsi="楷体" w:eastAsia="仿宋_GB2312" w:cs="Times New Roman"/>
          <w:b w:val="0"/>
          <w:spacing w:val="-4"/>
          <w:sz w:val="32"/>
          <w:szCs w:val="32"/>
          <w:lang w:val="en-US" w:eastAsia="zh-CN"/>
        </w:rPr>
        <w:t xml:space="preserve"> </w:t>
      </w:r>
    </w:p>
    <w:p>
      <w:pPr>
        <w:spacing w:line="540" w:lineRule="exact"/>
        <w:ind w:left="0" w:leftChars="0" w:firstLine="420" w:firstLineChars="0"/>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lang w:val="en-US" w:eastAsia="zh-CN"/>
        </w:rPr>
        <w:t xml:space="preserve"> </w:t>
      </w:r>
      <w:r>
        <w:rPr>
          <w:rStyle w:val="22"/>
          <w:rFonts w:hint="eastAsia" w:ascii="仿宋_GB2312" w:hAnsi="楷体" w:eastAsia="仿宋_GB2312" w:cs="Times New Roman"/>
          <w:b w:val="0"/>
          <w:spacing w:val="-4"/>
          <w:sz w:val="32"/>
          <w:szCs w:val="32"/>
        </w:rPr>
        <w:t>（二）存在的问题及原因分析随着物价的上涨，信访工作人员补助经费紧张，已不能满足当前信访工作的需求，建议财政适时增加该项目经费，切实提高了信访干部工作的积极性和主动性。</w:t>
      </w:r>
    </w:p>
    <w:p>
      <w:pPr>
        <w:ind w:firstLine="624" w:firstLineChars="200"/>
        <w:rPr>
          <w:rStyle w:val="22"/>
          <w:rFonts w:ascii="黑体" w:hAnsi="黑体" w:eastAsia="黑体"/>
          <w:b w:val="0"/>
          <w:spacing w:val="-4"/>
          <w:sz w:val="32"/>
          <w:szCs w:val="32"/>
        </w:rPr>
      </w:pPr>
      <w:r>
        <w:rPr>
          <w:rStyle w:val="22"/>
          <w:rFonts w:ascii="黑体" w:hAnsi="黑体" w:eastAsia="黑体"/>
          <w:b w:val="0"/>
          <w:spacing w:val="-4"/>
          <w:sz w:val="32"/>
          <w:szCs w:val="32"/>
        </w:rPr>
        <w:t>七、有关建议</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在今后的预算绩效申报时，相关业务科室将全年工作任务细化分解为具体的工作目标，并尽量采取定量的方式制定清晰、可衡量的绩效指标，提高项目使用经济功能精确度。</w:t>
      </w:r>
    </w:p>
    <w:p>
      <w:pPr>
        <w:spacing w:line="540" w:lineRule="exact"/>
        <w:ind w:firstLine="567"/>
        <w:rPr>
          <w:rStyle w:val="22"/>
          <w:rFonts w:ascii="黑体" w:hAnsi="黑体" w:eastAsia="黑体"/>
          <w:b w:val="0"/>
          <w:spacing w:val="-4"/>
          <w:sz w:val="32"/>
          <w:szCs w:val="32"/>
        </w:rPr>
      </w:pPr>
      <w:r>
        <w:rPr>
          <w:rStyle w:val="22"/>
          <w:rFonts w:hint="eastAsia" w:ascii="黑体" w:hAnsi="黑体" w:eastAsia="黑体"/>
          <w:b w:val="0"/>
          <w:spacing w:val="-4"/>
          <w:sz w:val="32"/>
          <w:szCs w:val="32"/>
        </w:rPr>
        <w:t>八、其他需要说明的问题</w:t>
      </w:r>
    </w:p>
    <w:p>
      <w:pPr>
        <w:spacing w:line="540" w:lineRule="exact"/>
        <w:ind w:firstLine="567"/>
        <w:rPr>
          <w:rStyle w:val="22"/>
          <w:rFonts w:hint="eastAsia" w:ascii="仿宋_GB2312" w:hAnsi="楷体" w:eastAsia="仿宋_GB2312" w:cs="Times New Roman"/>
          <w:b w:val="0"/>
          <w:spacing w:val="-4"/>
          <w:sz w:val="32"/>
          <w:szCs w:val="32"/>
        </w:rPr>
      </w:pPr>
      <w:r>
        <w:rPr>
          <w:rStyle w:val="22"/>
          <w:rFonts w:hint="eastAsia" w:ascii="仿宋_GB2312" w:hAnsi="楷体" w:eastAsia="仿宋_GB2312" w:cs="Times New Roman"/>
          <w:b w:val="0"/>
          <w:spacing w:val="-4"/>
          <w:sz w:val="32"/>
          <w:szCs w:val="32"/>
        </w:rPr>
        <w:t>无</w:t>
      </w: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5"/>
          <w:jc w:val="center"/>
        </w:pPr>
        <w:r>
          <w:fldChar w:fldCharType="begin"/>
        </w:r>
        <w:r>
          <w:instrText xml:space="preserve">PAGE   \* MERGEFORMAT</w:instrText>
        </w:r>
        <w:r>
          <w:fldChar w:fldCharType="separate"/>
        </w:r>
        <w:r>
          <w:rPr>
            <w:lang w:val="zh-CN"/>
          </w:rPr>
          <w:t>1</w:t>
        </w:r>
        <w:r>
          <w:fldChar w:fldCharType="end"/>
        </w:r>
      </w:p>
    </w:sdtContent>
  </w:sdt>
  <w:p>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Mzk3OGVlNmU5Yjg1Zjc0NDYxNGRhNDc4Y2ZmMz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800161B"/>
    <w:rsid w:val="0AF43BE6"/>
    <w:rsid w:val="0D3F756A"/>
    <w:rsid w:val="16AD3796"/>
    <w:rsid w:val="2120725A"/>
    <w:rsid w:val="331E694C"/>
    <w:rsid w:val="34DF325D"/>
    <w:rsid w:val="3E1611D7"/>
    <w:rsid w:val="432F3601"/>
    <w:rsid w:val="4CC5131A"/>
    <w:rsid w:val="4D2606A1"/>
    <w:rsid w:val="50D94BAC"/>
    <w:rsid w:val="526E7576"/>
    <w:rsid w:val="54B5148C"/>
    <w:rsid w:val="58462E88"/>
    <w:rsid w:val="58AE4B70"/>
    <w:rsid w:val="65271032"/>
    <w:rsid w:val="66012783"/>
    <w:rsid w:val="70577705"/>
    <w:rsid w:val="7F7D6EC7"/>
    <w:rsid w:val="7FB0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jc w:val="both"/>
    </w:pPr>
  </w:style>
  <w:style w:type="paragraph" w:styleId="3">
    <w:name w:val="Body Text Indent"/>
    <w:basedOn w:val="1"/>
    <w:qFormat/>
    <w:uiPriority w:val="0"/>
    <w:pPr>
      <w:spacing w:line="360" w:lineRule="auto"/>
      <w:ind w:firstLine="540"/>
      <w:jc w:val="left"/>
    </w:pPr>
    <w:rPr>
      <w:rFonts w:ascii="仿宋_GB2312" w:eastAsia="仿宋_GB2312"/>
      <w:sz w:val="32"/>
      <w:szCs w:val="32"/>
    </w:rPr>
  </w:style>
  <w:style w:type="paragraph" w:styleId="13">
    <w:name w:val="Normal Indent"/>
    <w:basedOn w:val="1"/>
    <w:qFormat/>
    <w:uiPriority w:val="99"/>
    <w:pPr>
      <w:ind w:firstLine="420" w:firstLineChars="20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Normal (Web)"/>
    <w:basedOn w:val="1"/>
    <w:qFormat/>
    <w:uiPriority w:val="99"/>
    <w:pPr>
      <w:spacing w:before="100" w:beforeAutospacing="1" w:after="100" w:afterAutospacing="1"/>
      <w:jc w:val="left"/>
    </w:pPr>
    <w:rPr>
      <w:rFonts w:cs="Times New Roman"/>
      <w:sz w:val="24"/>
    </w:rPr>
  </w:style>
  <w:style w:type="paragraph" w:styleId="19">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4"/>
    <w:qFormat/>
    <w:uiPriority w:val="9"/>
    <w:rPr>
      <w:rFonts w:asciiTheme="majorHAnsi" w:hAnsiTheme="majorHAnsi" w:eastAsiaTheme="majorEastAsia"/>
      <w:b/>
      <w:bCs/>
      <w:kern w:val="32"/>
      <w:sz w:val="32"/>
      <w:szCs w:val="32"/>
    </w:rPr>
  </w:style>
  <w:style w:type="character" w:customStyle="1" w:styleId="25">
    <w:name w:val="标题 2 字符"/>
    <w:basedOn w:val="21"/>
    <w:link w:val="5"/>
    <w:semiHidden/>
    <w:qFormat/>
    <w:uiPriority w:val="9"/>
    <w:rPr>
      <w:rFonts w:asciiTheme="majorHAnsi" w:hAnsiTheme="majorHAnsi" w:eastAsiaTheme="majorEastAsia"/>
      <w:b/>
      <w:bCs/>
      <w:i/>
      <w:iCs/>
      <w:sz w:val="28"/>
      <w:szCs w:val="28"/>
    </w:rPr>
  </w:style>
  <w:style w:type="character" w:customStyle="1" w:styleId="26">
    <w:name w:val="标题 3 字符"/>
    <w:basedOn w:val="21"/>
    <w:link w:val="6"/>
    <w:semiHidden/>
    <w:qFormat/>
    <w:uiPriority w:val="9"/>
    <w:rPr>
      <w:rFonts w:asciiTheme="majorHAnsi" w:hAnsiTheme="majorHAnsi" w:eastAsiaTheme="majorEastAsia"/>
      <w:b/>
      <w:bCs/>
      <w:sz w:val="26"/>
      <w:szCs w:val="26"/>
    </w:rPr>
  </w:style>
  <w:style w:type="character" w:customStyle="1" w:styleId="27">
    <w:name w:val="标题 4 字符"/>
    <w:basedOn w:val="21"/>
    <w:link w:val="7"/>
    <w:qFormat/>
    <w:uiPriority w:val="9"/>
    <w:rPr>
      <w:b/>
      <w:bCs/>
      <w:sz w:val="28"/>
      <w:szCs w:val="28"/>
    </w:rPr>
  </w:style>
  <w:style w:type="character" w:customStyle="1" w:styleId="28">
    <w:name w:val="标题 5 字符"/>
    <w:basedOn w:val="21"/>
    <w:link w:val="8"/>
    <w:semiHidden/>
    <w:qFormat/>
    <w:uiPriority w:val="9"/>
    <w:rPr>
      <w:b/>
      <w:bCs/>
      <w:i/>
      <w:iCs/>
      <w:sz w:val="26"/>
      <w:szCs w:val="26"/>
    </w:rPr>
  </w:style>
  <w:style w:type="character" w:customStyle="1" w:styleId="29">
    <w:name w:val="标题 6 字符"/>
    <w:basedOn w:val="21"/>
    <w:link w:val="9"/>
    <w:semiHidden/>
    <w:qFormat/>
    <w:uiPriority w:val="9"/>
    <w:rPr>
      <w:b/>
      <w:bCs/>
    </w:rPr>
  </w:style>
  <w:style w:type="character" w:customStyle="1" w:styleId="30">
    <w:name w:val="标题 7 字符"/>
    <w:basedOn w:val="21"/>
    <w:link w:val="10"/>
    <w:semiHidden/>
    <w:qFormat/>
    <w:uiPriority w:val="9"/>
    <w:rPr>
      <w:sz w:val="24"/>
      <w:szCs w:val="24"/>
    </w:rPr>
  </w:style>
  <w:style w:type="character" w:customStyle="1" w:styleId="31">
    <w:name w:val="标题 8 字符"/>
    <w:basedOn w:val="21"/>
    <w:link w:val="11"/>
    <w:semiHidden/>
    <w:qFormat/>
    <w:uiPriority w:val="9"/>
    <w:rPr>
      <w:i/>
      <w:iCs/>
      <w:sz w:val="24"/>
      <w:szCs w:val="24"/>
    </w:rPr>
  </w:style>
  <w:style w:type="character" w:customStyle="1" w:styleId="32">
    <w:name w:val="标题 9 字符"/>
    <w:basedOn w:val="21"/>
    <w:link w:val="12"/>
    <w:semiHidden/>
    <w:qFormat/>
    <w:uiPriority w:val="9"/>
    <w:rPr>
      <w:rFonts w:asciiTheme="majorHAnsi" w:hAnsiTheme="majorHAnsi" w:eastAsiaTheme="majorEastAsia"/>
    </w:rPr>
  </w:style>
  <w:style w:type="character" w:customStyle="1" w:styleId="33">
    <w:name w:val="标题 字符"/>
    <w:basedOn w:val="21"/>
    <w:link w:val="19"/>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4"/>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character" w:customStyle="1" w:styleId="50">
    <w:name w:val="font01"/>
    <w:basedOn w:val="21"/>
    <w:qFormat/>
    <w:uiPriority w:val="0"/>
    <w:rPr>
      <w:rFonts w:hint="eastAsia" w:ascii="宋体" w:hAnsi="宋体" w:eastAsia="宋体" w:cs="宋体"/>
      <w:b/>
      <w:bCs/>
      <w:color w:val="000000"/>
      <w:sz w:val="32"/>
      <w:szCs w:val="3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3447</Words>
  <Characters>3563</Characters>
  <Lines>5</Lines>
  <Paragraphs>1</Paragraphs>
  <TotalTime>0</TotalTime>
  <ScaleCrop>false</ScaleCrop>
  <LinksUpToDate>false</LinksUpToDate>
  <CharactersWithSpaces>3597</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User</cp:lastModifiedBy>
  <cp:lastPrinted>2018-12-31T10:56:00Z</cp:lastPrinted>
  <dcterms:modified xsi:type="dcterms:W3CDTF">2024-08-02T04:55:11Z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2052-12.8.2.16984</vt:lpwstr>
  </property>
  <property fmtid="{D5CDD505-2E9C-101B-9397-08002B2CF9AE}" pid="3" name="ICV">
    <vt:lpwstr>71614A88FDA743B6B9E6468CE9F927D1_12</vt:lpwstr>
  </property>
</Properties>
</file>