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jc w:val="center"/>
        <w:rPr>
          <w:rFonts w:hint="eastAsia" w:ascii="黑体" w:hAnsi="黑体" w:eastAsia="黑体"/>
          <w:b/>
          <w:sz w:val="44"/>
          <w:szCs w:val="48"/>
        </w:rPr>
      </w:pPr>
      <w:bookmarkStart w:id="0" w:name="部门决算分析报告撰写提纲"/>
    </w:p>
    <w:p>
      <w:pPr>
        <w:widowControl/>
        <w:snapToGrid w:val="0"/>
        <w:spacing w:line="560" w:lineRule="exact"/>
        <w:jc w:val="center"/>
        <w:rPr>
          <w:rFonts w:hint="eastAsia" w:ascii="黑体" w:hAnsi="黑体" w:eastAsia="黑体"/>
          <w:b/>
          <w:sz w:val="44"/>
          <w:szCs w:val="48"/>
        </w:rPr>
      </w:pPr>
    </w:p>
    <w:p>
      <w:pPr>
        <w:widowControl/>
        <w:snapToGrid w:val="0"/>
        <w:spacing w:line="560" w:lineRule="exact"/>
        <w:jc w:val="center"/>
        <w:rPr>
          <w:rFonts w:hint="eastAsia" w:ascii="黑体" w:hAnsi="黑体" w:eastAsia="黑体"/>
          <w:b/>
          <w:sz w:val="44"/>
          <w:szCs w:val="48"/>
        </w:rPr>
      </w:pPr>
    </w:p>
    <w:p>
      <w:pPr>
        <w:widowControl/>
        <w:snapToGrid w:val="0"/>
        <w:spacing w:line="560" w:lineRule="exact"/>
        <w:jc w:val="center"/>
        <w:rPr>
          <w:rFonts w:hint="eastAsia" w:ascii="黑体" w:hAnsi="黑体" w:eastAsia="黑体"/>
          <w:b/>
          <w:sz w:val="44"/>
          <w:szCs w:val="48"/>
        </w:rPr>
      </w:pPr>
    </w:p>
    <w:p>
      <w:pPr>
        <w:widowControl/>
        <w:snapToGrid w:val="0"/>
        <w:spacing w:line="560" w:lineRule="exact"/>
        <w:jc w:val="center"/>
        <w:rPr>
          <w:rFonts w:hint="eastAsia" w:ascii="黑体" w:hAnsi="黑体" w:eastAsia="黑体"/>
          <w:b/>
          <w:sz w:val="44"/>
          <w:szCs w:val="48"/>
        </w:rPr>
      </w:pPr>
    </w:p>
    <w:p>
      <w:pPr>
        <w:widowControl/>
        <w:snapToGrid w:val="0"/>
        <w:spacing w:line="480" w:lineRule="auto"/>
        <w:jc w:val="center"/>
        <w:rPr>
          <w:rFonts w:hint="eastAsia" w:ascii="黑体" w:hAnsi="黑体" w:eastAsia="黑体"/>
          <w:b/>
          <w:sz w:val="44"/>
          <w:szCs w:val="48"/>
          <w:lang w:eastAsia="zh-CN"/>
        </w:rPr>
      </w:pPr>
      <w:r>
        <w:rPr>
          <w:rFonts w:hint="eastAsia" w:ascii="黑体" w:hAnsi="黑体" w:eastAsia="黑体"/>
          <w:b/>
          <w:sz w:val="84"/>
          <w:szCs w:val="48"/>
        </w:rPr>
        <w:t>201</w:t>
      </w:r>
      <w:r>
        <w:rPr>
          <w:rFonts w:hint="default" w:ascii="黑体" w:hAnsi="黑体" w:eastAsia="黑体"/>
          <w:b/>
          <w:sz w:val="84"/>
          <w:szCs w:val="48"/>
          <w:lang w:val="en-US"/>
        </w:rPr>
        <w:t>6</w:t>
      </w:r>
      <w:r>
        <w:rPr>
          <w:rFonts w:hint="eastAsia" w:ascii="黑体" w:hAnsi="黑体" w:eastAsia="黑体"/>
          <w:b/>
          <w:sz w:val="84"/>
          <w:szCs w:val="48"/>
        </w:rPr>
        <w:t>年度新疆维吾尔自治区</w:t>
      </w:r>
      <w:r>
        <w:rPr>
          <w:rFonts w:hint="eastAsia" w:ascii="黑体" w:hAnsi="黑体" w:eastAsia="黑体"/>
          <w:b/>
          <w:sz w:val="84"/>
          <w:szCs w:val="48"/>
          <w:lang w:eastAsia="zh-CN"/>
        </w:rPr>
        <w:t>信访局</w:t>
      </w:r>
      <w:r>
        <w:rPr>
          <w:rFonts w:hint="eastAsia" w:ascii="黑体" w:hAnsi="黑体" w:eastAsia="黑体"/>
          <w:b/>
          <w:sz w:val="84"/>
          <w:szCs w:val="48"/>
        </w:rPr>
        <w:t>部门</w:t>
      </w:r>
      <w:r>
        <w:rPr>
          <w:rFonts w:hint="default" w:ascii="黑体" w:hAnsi="黑体" w:eastAsia="黑体"/>
          <w:b/>
          <w:sz w:val="84"/>
          <w:szCs w:val="48"/>
          <w:lang w:val="en-US"/>
        </w:rPr>
        <w:t>预</w:t>
      </w:r>
      <w:r>
        <w:rPr>
          <w:rFonts w:hint="eastAsia" w:ascii="黑体" w:hAnsi="黑体" w:eastAsia="黑体"/>
          <w:b/>
          <w:sz w:val="84"/>
          <w:szCs w:val="48"/>
        </w:rPr>
        <w:t>算</w:t>
      </w:r>
      <w:r>
        <w:rPr>
          <w:rFonts w:hint="eastAsia" w:ascii="黑体" w:hAnsi="黑体" w:eastAsia="黑体"/>
          <w:b/>
          <w:sz w:val="84"/>
          <w:szCs w:val="48"/>
          <w:lang w:eastAsia="zh-CN"/>
        </w:rPr>
        <w:t>公开</w:t>
      </w:r>
    </w:p>
    <w:p>
      <w:pPr>
        <w:widowControl/>
        <w:snapToGrid w:val="0"/>
        <w:spacing w:line="480" w:lineRule="auto"/>
        <w:jc w:val="center"/>
        <w:rPr>
          <w:rFonts w:hint="eastAsia" w:ascii="黑体" w:hAnsi="黑体" w:eastAsia="黑体"/>
          <w:b/>
          <w:sz w:val="44"/>
          <w:szCs w:val="48"/>
        </w:rPr>
      </w:pPr>
    </w:p>
    <w:p>
      <w:pPr>
        <w:widowControl/>
        <w:snapToGrid w:val="0"/>
        <w:spacing w:line="560" w:lineRule="exact"/>
        <w:jc w:val="center"/>
        <w:rPr>
          <w:rFonts w:hint="eastAsia" w:ascii="黑体" w:hAnsi="黑体" w:eastAsia="黑体"/>
          <w:b/>
          <w:sz w:val="44"/>
          <w:szCs w:val="48"/>
        </w:rPr>
      </w:pPr>
    </w:p>
    <w:p>
      <w:pPr>
        <w:widowControl/>
        <w:snapToGrid w:val="0"/>
        <w:spacing w:line="560" w:lineRule="exact"/>
        <w:jc w:val="center"/>
        <w:rPr>
          <w:rFonts w:hint="eastAsia" w:ascii="黑体" w:hAnsi="黑体" w:eastAsia="黑体"/>
          <w:b/>
          <w:sz w:val="44"/>
          <w:szCs w:val="48"/>
        </w:rPr>
      </w:pPr>
    </w:p>
    <w:p>
      <w:pPr>
        <w:widowControl/>
        <w:snapToGrid w:val="0"/>
        <w:spacing w:line="560" w:lineRule="exact"/>
        <w:jc w:val="center"/>
        <w:rPr>
          <w:rFonts w:hint="eastAsia" w:ascii="黑体" w:hAnsi="黑体" w:eastAsia="黑体"/>
          <w:b/>
          <w:sz w:val="44"/>
          <w:szCs w:val="48"/>
        </w:rPr>
      </w:pPr>
    </w:p>
    <w:p>
      <w:pPr>
        <w:widowControl/>
        <w:snapToGrid w:val="0"/>
        <w:spacing w:line="560" w:lineRule="exact"/>
        <w:jc w:val="center"/>
        <w:rPr>
          <w:rFonts w:hint="eastAsia" w:ascii="黑体" w:hAnsi="黑体" w:eastAsia="黑体"/>
          <w:b/>
          <w:sz w:val="44"/>
          <w:szCs w:val="48"/>
        </w:rPr>
      </w:pPr>
    </w:p>
    <w:p>
      <w:pPr>
        <w:widowControl/>
        <w:snapToGrid w:val="0"/>
        <w:spacing w:line="560" w:lineRule="exact"/>
        <w:jc w:val="center"/>
        <w:rPr>
          <w:rFonts w:hint="eastAsia" w:ascii="黑体" w:hAnsi="黑体" w:eastAsia="黑体"/>
          <w:b/>
          <w:sz w:val="44"/>
          <w:szCs w:val="48"/>
        </w:rPr>
      </w:pPr>
    </w:p>
    <w:p>
      <w:pPr>
        <w:widowControl/>
        <w:snapToGrid w:val="0"/>
        <w:spacing w:line="560" w:lineRule="exact"/>
        <w:jc w:val="center"/>
        <w:rPr>
          <w:rFonts w:hint="eastAsia" w:ascii="黑体" w:hAnsi="黑体" w:eastAsia="黑体"/>
          <w:b/>
          <w:sz w:val="44"/>
          <w:szCs w:val="48"/>
        </w:rPr>
      </w:pPr>
    </w:p>
    <w:p>
      <w:pPr>
        <w:widowControl/>
        <w:snapToGrid w:val="0"/>
        <w:spacing w:line="560" w:lineRule="exact"/>
        <w:jc w:val="center"/>
        <w:rPr>
          <w:rFonts w:hint="eastAsia" w:ascii="仿宋_GB2312" w:hAnsi="仿宋_GB2312" w:eastAsia="仿宋_GB2312"/>
          <w:b/>
          <w:sz w:val="36"/>
          <w:szCs w:val="48"/>
        </w:rPr>
      </w:pPr>
    </w:p>
    <w:p>
      <w:pPr>
        <w:widowControl/>
        <w:snapToGrid w:val="0"/>
        <w:spacing w:line="560" w:lineRule="exact"/>
        <w:jc w:val="center"/>
        <w:rPr>
          <w:rFonts w:hint="eastAsia" w:ascii="黑体" w:hAnsi="黑体" w:eastAsia="黑体"/>
          <w:b/>
          <w:sz w:val="36"/>
          <w:szCs w:val="48"/>
        </w:rPr>
      </w:pPr>
      <w:r>
        <w:rPr>
          <w:rFonts w:hint="eastAsia" w:ascii="黑体" w:hAnsi="黑体" w:eastAsia="黑体"/>
          <w:b/>
          <w:sz w:val="36"/>
          <w:szCs w:val="48"/>
        </w:rPr>
        <w:t>第一部分  自治区</w:t>
      </w:r>
      <w:r>
        <w:rPr>
          <w:rFonts w:hint="eastAsia" w:ascii="黑体" w:hAnsi="黑体" w:eastAsia="黑体"/>
          <w:b/>
          <w:sz w:val="36"/>
          <w:szCs w:val="48"/>
          <w:lang w:eastAsia="zh-CN"/>
        </w:rPr>
        <w:t>信访局</w:t>
      </w:r>
      <w:r>
        <w:rPr>
          <w:rFonts w:hint="eastAsia" w:ascii="黑体" w:hAnsi="黑体" w:eastAsia="黑体"/>
          <w:b/>
          <w:sz w:val="36"/>
          <w:szCs w:val="48"/>
        </w:rPr>
        <w:t>部门概况</w:t>
      </w:r>
    </w:p>
    <w:p>
      <w:pPr>
        <w:widowControl/>
        <w:snapToGrid w:val="0"/>
        <w:spacing w:line="560" w:lineRule="exact"/>
        <w:jc w:val="center"/>
        <w:rPr>
          <w:rFonts w:hint="eastAsia" w:ascii="仿宋_GB2312" w:hAnsi="仿宋_GB2312" w:eastAsia="仿宋_GB2312"/>
          <w:b/>
          <w:sz w:val="48"/>
          <w:szCs w:val="48"/>
        </w:rPr>
      </w:pPr>
    </w:p>
    <w:bookmarkEnd w:id="0"/>
    <w:p>
      <w:pPr>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 xml:space="preserve">    一、主要职能</w:t>
      </w:r>
    </w:p>
    <w:p>
      <w:pPr>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主要职责：</w:t>
      </w:r>
      <w:r>
        <w:rPr>
          <w:rFonts w:hint="default" w:ascii="仿宋" w:hAnsi="仿宋" w:eastAsia="仿宋" w:cs="仿宋"/>
          <w:kern w:val="2"/>
          <w:sz w:val="32"/>
          <w:szCs w:val="32"/>
          <w:lang w:val="en-US" w:eastAsia="zh-CN" w:bidi="ar-SA"/>
        </w:rPr>
        <w:t>贯彻落实中共中央、国务院和自治区党委、自治区人民政府及国家信访局关于信访工作的方针、政策和法规，指导全区的信访工作。</w:t>
      </w:r>
      <w:r>
        <w:rPr>
          <w:rFonts w:hint="default" w:ascii="仿宋" w:hAnsi="仿宋" w:eastAsia="仿宋" w:cs="仿宋"/>
          <w:kern w:val="2"/>
          <w:sz w:val="32"/>
          <w:szCs w:val="32"/>
          <w:lang w:val="en-US" w:eastAsia="zh-CN" w:bidi="ar-SA"/>
        </w:rPr>
        <w:br w:type="textWrapping"/>
      </w:r>
      <w:r>
        <w:rPr>
          <w:rFonts w:hint="default" w:ascii="仿宋" w:hAnsi="仿宋" w:eastAsia="仿宋" w:cs="仿宋"/>
          <w:kern w:val="2"/>
          <w:sz w:val="32"/>
          <w:szCs w:val="32"/>
          <w:lang w:val="en-US" w:eastAsia="zh-CN" w:bidi="ar-SA"/>
        </w:rPr>
        <w:t>　　研究草拟自治区有关信访工作的政策、法规草案，并负责组织实施；总结、推广各地、各部门的信访工作经验，提出改进和加强信访工作的意见和建议。</w:t>
      </w:r>
      <w:r>
        <w:rPr>
          <w:rFonts w:hint="default" w:ascii="仿宋" w:hAnsi="仿宋" w:eastAsia="仿宋" w:cs="仿宋"/>
          <w:kern w:val="2"/>
          <w:sz w:val="32"/>
          <w:szCs w:val="32"/>
          <w:lang w:val="en-US" w:eastAsia="zh-CN" w:bidi="ar-SA"/>
        </w:rPr>
        <w:br w:type="textWrapping"/>
      </w:r>
      <w:r>
        <w:rPr>
          <w:rFonts w:hint="default" w:ascii="仿宋" w:hAnsi="仿宋" w:eastAsia="仿宋" w:cs="仿宋"/>
          <w:kern w:val="2"/>
          <w:sz w:val="32"/>
          <w:szCs w:val="32"/>
          <w:lang w:val="en-US" w:eastAsia="zh-CN" w:bidi="ar-SA"/>
        </w:rPr>
        <w:t>　　代表自治区党委、自治区人民政府受理人民群众给自治区党委、自治区人民政府及其主要领导人的来信，接待群众来访，为来信来访群众提供有关法律、法规和政策咨询服务；负责主席信箱的日常受理、处理、查办工作。</w:t>
      </w:r>
      <w:r>
        <w:rPr>
          <w:rFonts w:hint="default" w:ascii="仿宋" w:hAnsi="仿宋" w:eastAsia="仿宋" w:cs="仿宋"/>
          <w:kern w:val="2"/>
          <w:sz w:val="32"/>
          <w:szCs w:val="32"/>
          <w:lang w:val="en-US" w:eastAsia="zh-CN" w:bidi="ar-SA"/>
        </w:rPr>
        <w:br w:type="textWrapping"/>
      </w:r>
      <w:r>
        <w:rPr>
          <w:rFonts w:hint="default" w:ascii="仿宋" w:hAnsi="仿宋" w:eastAsia="仿宋" w:cs="仿宋"/>
          <w:kern w:val="2"/>
          <w:sz w:val="32"/>
          <w:szCs w:val="32"/>
          <w:lang w:val="en-US" w:eastAsia="zh-CN" w:bidi="ar-SA"/>
        </w:rPr>
        <w:t>　　分析研究信访工作形势，开展调查研究，征集群众建议，及时向自治区党委、自治区人民政府提供信访信息。</w:t>
      </w:r>
      <w:r>
        <w:rPr>
          <w:rFonts w:hint="default" w:ascii="仿宋" w:hAnsi="仿宋" w:eastAsia="仿宋" w:cs="仿宋"/>
          <w:kern w:val="2"/>
          <w:sz w:val="32"/>
          <w:szCs w:val="32"/>
          <w:lang w:val="en-US" w:eastAsia="zh-CN" w:bidi="ar-SA"/>
        </w:rPr>
        <w:br w:type="textWrapping"/>
      </w:r>
      <w:r>
        <w:rPr>
          <w:rFonts w:hint="default" w:ascii="仿宋" w:hAnsi="仿宋" w:eastAsia="仿宋" w:cs="仿宋"/>
          <w:kern w:val="2"/>
          <w:sz w:val="32"/>
          <w:szCs w:val="32"/>
          <w:lang w:val="en-US" w:eastAsia="zh-CN" w:bidi="ar-SA"/>
        </w:rPr>
        <w:t>　　承办上级领导机关、自治区党委和自治区人民政府领导交办的信访事项，督促检查领导批示件落实情况；向有关单位交办信访事项；督促检查重要信访事项的处理和落实。</w:t>
      </w:r>
      <w:r>
        <w:rPr>
          <w:rFonts w:hint="default" w:ascii="仿宋" w:hAnsi="仿宋" w:eastAsia="仿宋" w:cs="仿宋"/>
          <w:kern w:val="2"/>
          <w:sz w:val="32"/>
          <w:szCs w:val="32"/>
          <w:lang w:val="en-US" w:eastAsia="zh-CN" w:bidi="ar-SA"/>
        </w:rPr>
        <w:br w:type="textWrapping"/>
      </w:r>
      <w:r>
        <w:rPr>
          <w:rFonts w:hint="default" w:ascii="仿宋" w:hAnsi="仿宋" w:eastAsia="仿宋" w:cs="仿宋"/>
          <w:kern w:val="2"/>
          <w:sz w:val="32"/>
          <w:szCs w:val="32"/>
          <w:lang w:val="en-US" w:eastAsia="zh-CN" w:bidi="ar-SA"/>
        </w:rPr>
        <w:t>　　协调处理跨地区、跨部门的重要信访、群众集体上访和突发上访事件；检查、协调指导自治区党、政、军、兵团各部门的信访工作和各地、州、市委、政府（行署）机关的信访工作。</w:t>
      </w:r>
      <w:r>
        <w:rPr>
          <w:rFonts w:hint="default" w:ascii="仿宋" w:hAnsi="仿宋" w:eastAsia="仿宋" w:cs="仿宋"/>
          <w:kern w:val="2"/>
          <w:sz w:val="32"/>
          <w:szCs w:val="32"/>
          <w:lang w:val="en-US" w:eastAsia="zh-CN" w:bidi="ar-SA"/>
        </w:rPr>
        <w:br w:type="textWrapping"/>
      </w:r>
      <w:r>
        <w:rPr>
          <w:rFonts w:hint="default" w:ascii="仿宋" w:hAnsi="仿宋" w:eastAsia="仿宋" w:cs="仿宋"/>
          <w:kern w:val="2"/>
          <w:sz w:val="32"/>
          <w:szCs w:val="32"/>
          <w:lang w:val="en-US" w:eastAsia="zh-CN" w:bidi="ar-SA"/>
        </w:rPr>
        <w:t>　　宣传和贯彻落实《信访条例》；了解并掌握信访工作队伍建设情况；组织信访干部的培训；加强、指导信访部门办公自动建设。</w:t>
      </w:r>
      <w:r>
        <w:rPr>
          <w:rFonts w:hint="default" w:ascii="仿宋" w:hAnsi="仿宋" w:eastAsia="仿宋" w:cs="仿宋"/>
          <w:kern w:val="2"/>
          <w:sz w:val="32"/>
          <w:szCs w:val="32"/>
          <w:lang w:val="en-US" w:eastAsia="zh-CN" w:bidi="ar-SA"/>
        </w:rPr>
        <w:br w:type="textWrapping"/>
      </w:r>
      <w:r>
        <w:rPr>
          <w:rFonts w:hint="default" w:ascii="仿宋" w:hAnsi="仿宋" w:eastAsia="仿宋" w:cs="仿宋"/>
          <w:kern w:val="2"/>
          <w:sz w:val="32"/>
          <w:szCs w:val="32"/>
          <w:lang w:val="en-US" w:eastAsia="zh-CN" w:bidi="ar-SA"/>
        </w:rPr>
        <w:t xml:space="preserve">　　承办自治区党委、自治区人民政府交办的其他信访事项。 </w:t>
      </w:r>
    </w:p>
    <w:p>
      <w:pPr>
        <w:pStyle w:val="3"/>
        <w:keepNext w:val="0"/>
        <w:keepLines w:val="0"/>
        <w:widowControl/>
        <w:suppressLineNumbers w:val="0"/>
        <w:rPr>
          <w:rFonts w:hint="eastAsia" w:ascii="仿宋" w:hAnsi="仿宋" w:eastAsia="仿宋" w:cs="仿宋"/>
          <w:b/>
          <w:bCs/>
          <w:kern w:val="2"/>
          <w:sz w:val="32"/>
          <w:szCs w:val="32"/>
          <w:lang w:val="en-US" w:eastAsia="zh-CN" w:bidi="ar-SA"/>
        </w:rPr>
      </w:pPr>
      <w:r>
        <w:rPr>
          <w:rFonts w:hint="eastAsia" w:ascii="仿宋" w:hAnsi="仿宋" w:eastAsia="仿宋" w:cs="仿宋"/>
          <w:b/>
          <w:bCs/>
          <w:kern w:val="2"/>
          <w:sz w:val="32"/>
          <w:szCs w:val="32"/>
          <w:lang w:val="en-US" w:eastAsia="zh-CN" w:bidi="ar-SA"/>
        </w:rPr>
        <w:t xml:space="preserve">    二、机构设置及人员情况</w:t>
      </w:r>
    </w:p>
    <w:p>
      <w:pPr>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自治区信访局内设11处（室），分别为办公室、</w:t>
      </w:r>
      <w:r>
        <w:rPr>
          <w:rFonts w:hint="default" w:ascii="仿宋" w:hAnsi="仿宋" w:eastAsia="仿宋" w:cs="仿宋"/>
          <w:kern w:val="2"/>
          <w:sz w:val="32"/>
          <w:szCs w:val="32"/>
          <w:lang w:val="en-US" w:eastAsia="zh-CN" w:bidi="ar-SA"/>
        </w:rPr>
        <w:t>督查办案（复查复核）处、来访接待一处、来访接待二处、来访接待三处、信件办理处、政策法规处、投诉受理与人民建议征集处、人事处、信息网络处、机关党委</w:t>
      </w:r>
      <w:r>
        <w:rPr>
          <w:rFonts w:hint="eastAsia" w:ascii="仿宋" w:hAnsi="仿宋" w:eastAsia="仿宋" w:cs="仿宋"/>
          <w:kern w:val="2"/>
          <w:sz w:val="32"/>
          <w:szCs w:val="32"/>
          <w:lang w:val="en-US" w:eastAsia="zh-CN" w:bidi="ar-SA"/>
        </w:rPr>
        <w:t>。</w:t>
      </w:r>
    </w:p>
    <w:p>
      <w:pPr>
        <w:pStyle w:val="3"/>
        <w:keepNext w:val="0"/>
        <w:keepLines w:val="0"/>
        <w:widowControl/>
        <w:suppressLineNumbers w:val="0"/>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自治区信访局行政事业编制69人，其中：行政编制人数61人、事业编制人数8人。实有人数69</w:t>
      </w:r>
      <w:bookmarkStart w:id="1" w:name="_GoBack"/>
      <w:bookmarkEnd w:id="1"/>
      <w:r>
        <w:rPr>
          <w:rFonts w:hint="eastAsia" w:ascii="仿宋" w:hAnsi="仿宋" w:eastAsia="仿宋" w:cs="仿宋"/>
          <w:kern w:val="2"/>
          <w:sz w:val="32"/>
          <w:szCs w:val="32"/>
          <w:lang w:val="en-US" w:eastAsia="zh-CN" w:bidi="ar-SA"/>
        </w:rPr>
        <w:t>人，其中：行政在职人数55人；事业在职人数8人，无变化；退休人员6人。</w:t>
      </w:r>
    </w:p>
    <w:p>
      <w:pPr>
        <w:pStyle w:val="3"/>
        <w:keepNext w:val="0"/>
        <w:keepLines w:val="0"/>
        <w:widowControl/>
        <w:suppressLineNumbers w:val="0"/>
        <w:ind w:firstLine="640"/>
        <w:rPr>
          <w:rFonts w:hint="eastAsia" w:ascii="仿宋" w:hAnsi="仿宋" w:eastAsia="仿宋" w:cs="仿宋"/>
          <w:kern w:val="2"/>
          <w:sz w:val="32"/>
          <w:szCs w:val="32"/>
          <w:lang w:val="en-US" w:eastAsia="zh-CN" w:bidi="ar-SA"/>
        </w:rPr>
      </w:pPr>
    </w:p>
    <w:p>
      <w:pPr>
        <w:widowControl/>
        <w:snapToGrid w:val="0"/>
        <w:spacing w:line="580" w:lineRule="exact"/>
        <w:ind w:firstLine="640" w:firstLineChars="200"/>
        <w:rPr>
          <w:rFonts w:hint="eastAsia" w:ascii="仿宋_GB2312" w:hAnsi="仿宋" w:eastAsia="仿宋_GB2312"/>
          <w:color w:val="000000"/>
          <w:sz w:val="32"/>
          <w:szCs w:val="32"/>
        </w:rPr>
      </w:pPr>
    </w:p>
    <w:p>
      <w:pPr>
        <w:widowControl/>
        <w:snapToGrid w:val="0"/>
        <w:spacing w:line="580" w:lineRule="exact"/>
        <w:ind w:firstLine="643" w:firstLineChars="200"/>
        <w:rPr>
          <w:rFonts w:hint="eastAsia" w:ascii="黑体" w:hAnsi="黑体" w:eastAsia="黑体"/>
          <w:b/>
          <w:bCs/>
          <w:sz w:val="32"/>
          <w:szCs w:val="32"/>
        </w:rPr>
      </w:pPr>
    </w:p>
    <w:p>
      <w:pPr>
        <w:pStyle w:val="8"/>
        <w:keepNext w:val="0"/>
        <w:keepLines w:val="0"/>
        <w:pageBreakBefore w:val="0"/>
        <w:widowControl/>
        <w:suppressLineNumbers w:val="0"/>
        <w:kinsoku/>
        <w:wordWrap/>
        <w:overflowPunct/>
        <w:topLinePunct w:val="0"/>
        <w:autoSpaceDE/>
        <w:autoSpaceDN/>
        <w:bidi w:val="0"/>
        <w:adjustRightInd/>
        <w:spacing w:before="0" w:beforeLines="0" w:after="0" w:afterLines="0" w:line="560" w:lineRule="exact"/>
        <w:ind w:left="0" w:leftChars="0" w:right="0" w:rightChars="0" w:firstLine="0" w:firstLineChars="0"/>
        <w:jc w:val="center"/>
        <w:textAlignment w:val="auto"/>
        <w:rPr>
          <w:rStyle w:val="6"/>
          <w:rFonts w:hint="eastAsia" w:ascii="黑体" w:hAnsi="黑体" w:eastAsia="黑体"/>
          <w:color w:val="333333"/>
          <w:sz w:val="32"/>
          <w:szCs w:val="24"/>
        </w:rPr>
      </w:pPr>
      <w:r>
        <w:rPr>
          <w:rStyle w:val="6"/>
          <w:rFonts w:hint="eastAsia" w:ascii="黑体" w:hAnsi="黑体" w:eastAsia="黑体"/>
          <w:color w:val="333333"/>
          <w:sz w:val="32"/>
          <w:szCs w:val="24"/>
        </w:rPr>
        <w:t xml:space="preserve">第二部分 </w:t>
      </w:r>
      <w:r>
        <w:rPr>
          <w:rStyle w:val="6"/>
          <w:rFonts w:hint="eastAsia" w:ascii="黑体" w:hAnsi="黑体" w:eastAsia="黑体"/>
          <w:color w:val="333333"/>
          <w:sz w:val="32"/>
          <w:szCs w:val="24"/>
          <w:lang w:val="en-US"/>
        </w:rPr>
        <w:t xml:space="preserve"> 新疆维吾尔自治区</w:t>
      </w:r>
      <w:r>
        <w:rPr>
          <w:rStyle w:val="6"/>
          <w:rFonts w:hint="eastAsia" w:ascii="黑体" w:hAnsi="黑体" w:eastAsia="黑体"/>
          <w:color w:val="333333"/>
          <w:sz w:val="32"/>
          <w:szCs w:val="24"/>
          <w:lang w:eastAsia="zh-CN"/>
        </w:rPr>
        <w:t>信访局</w:t>
      </w:r>
      <w:r>
        <w:rPr>
          <w:rStyle w:val="6"/>
          <w:rFonts w:hint="eastAsia" w:ascii="黑体" w:hAnsi="黑体" w:eastAsia="黑体"/>
          <w:color w:val="333333"/>
          <w:sz w:val="32"/>
          <w:szCs w:val="24"/>
        </w:rPr>
        <w:t>201</w:t>
      </w:r>
      <w:r>
        <w:rPr>
          <w:rStyle w:val="6"/>
          <w:rFonts w:hint="eastAsia" w:ascii="黑体" w:hAnsi="黑体" w:eastAsia="黑体"/>
          <w:color w:val="333333"/>
          <w:sz w:val="32"/>
          <w:szCs w:val="24"/>
          <w:lang w:val="en-US"/>
        </w:rPr>
        <w:t>6</w:t>
      </w:r>
      <w:r>
        <w:rPr>
          <w:rStyle w:val="6"/>
          <w:rFonts w:hint="eastAsia" w:ascii="黑体" w:hAnsi="黑体" w:eastAsia="黑体"/>
          <w:color w:val="333333"/>
          <w:sz w:val="32"/>
          <w:szCs w:val="24"/>
        </w:rPr>
        <w:t xml:space="preserve">年部门预算表 </w:t>
      </w:r>
    </w:p>
    <w:p>
      <w:pPr>
        <w:pStyle w:val="8"/>
        <w:keepNext w:val="0"/>
        <w:keepLines w:val="0"/>
        <w:pageBreakBefore w:val="0"/>
        <w:widowControl/>
        <w:suppressLineNumbers w:val="0"/>
        <w:kinsoku/>
        <w:wordWrap/>
        <w:overflowPunct/>
        <w:topLinePunct w:val="0"/>
        <w:autoSpaceDE/>
        <w:autoSpaceDN/>
        <w:bidi w:val="0"/>
        <w:adjustRightInd/>
        <w:spacing w:before="0" w:beforeLines="0" w:after="0" w:afterLines="0" w:line="560" w:lineRule="exact"/>
        <w:ind w:left="0" w:leftChars="0" w:right="0" w:rightChars="0" w:firstLine="0" w:firstLineChars="0"/>
        <w:jc w:val="left"/>
        <w:textAlignment w:val="auto"/>
        <w:rPr>
          <w:rStyle w:val="6"/>
          <w:rFonts w:hint="default" w:ascii="黑体" w:hAnsi="黑体" w:eastAsia="黑体"/>
          <w:color w:val="333333"/>
          <w:sz w:val="32"/>
          <w:szCs w:val="24"/>
          <w:lang w:val="en-US"/>
        </w:rPr>
      </w:pPr>
      <w:r>
        <w:rPr>
          <w:rStyle w:val="6"/>
          <w:rFonts w:hint="default" w:ascii="黑体" w:hAnsi="黑体" w:eastAsia="黑体"/>
          <w:color w:val="333333"/>
          <w:sz w:val="32"/>
          <w:szCs w:val="24"/>
          <w:lang w:val="en-US"/>
        </w:rPr>
        <w:t>（详见附表）</w:t>
      </w:r>
    </w:p>
    <w:p>
      <w:pPr>
        <w:pStyle w:val="8"/>
        <w:keepNext w:val="0"/>
        <w:keepLines w:val="0"/>
        <w:pageBreakBefore w:val="0"/>
        <w:widowControl/>
        <w:suppressLineNumbers w:val="0"/>
        <w:kinsoku/>
        <w:wordWrap/>
        <w:overflowPunct/>
        <w:topLinePunct w:val="0"/>
        <w:autoSpaceDE/>
        <w:autoSpaceDN/>
        <w:bidi w:val="0"/>
        <w:adjustRightInd/>
        <w:spacing w:before="0" w:beforeLines="0" w:after="0" w:afterLines="0" w:line="560" w:lineRule="exact"/>
        <w:ind w:left="0" w:leftChars="0" w:right="0" w:rightChars="0" w:firstLine="0" w:firstLineChars="0"/>
        <w:jc w:val="left"/>
        <w:textAlignment w:val="auto"/>
        <w:rPr>
          <w:rStyle w:val="6"/>
          <w:rFonts w:hint="eastAsia" w:ascii="黑体" w:hAnsi="黑体" w:eastAsia="黑体"/>
          <w:color w:val="333333"/>
          <w:sz w:val="32"/>
          <w:szCs w:val="24"/>
          <w:lang w:val="en-US"/>
        </w:rPr>
      </w:pPr>
    </w:p>
    <w:p>
      <w:pPr>
        <w:pStyle w:val="8"/>
        <w:keepNext w:val="0"/>
        <w:keepLines w:val="0"/>
        <w:pageBreakBefore w:val="0"/>
        <w:widowControl/>
        <w:suppressLineNumbers w:val="0"/>
        <w:kinsoku/>
        <w:wordWrap/>
        <w:overflowPunct/>
        <w:topLinePunct w:val="0"/>
        <w:autoSpaceDE/>
        <w:autoSpaceDN/>
        <w:bidi w:val="0"/>
        <w:adjustRightInd/>
        <w:spacing w:before="0" w:beforeLines="0" w:after="0" w:afterLines="0" w:line="560" w:lineRule="exact"/>
        <w:ind w:left="0" w:leftChars="0" w:right="0" w:rightChars="0" w:firstLine="0" w:firstLineChars="0"/>
        <w:jc w:val="center"/>
        <w:textAlignment w:val="auto"/>
        <w:rPr>
          <w:rStyle w:val="6"/>
          <w:rFonts w:hint="eastAsia" w:ascii="黑体" w:hAnsi="黑体" w:eastAsia="黑体"/>
          <w:color w:val="333333"/>
          <w:sz w:val="32"/>
          <w:szCs w:val="24"/>
        </w:rPr>
      </w:pPr>
    </w:p>
    <w:p>
      <w:pPr>
        <w:pStyle w:val="8"/>
        <w:keepNext w:val="0"/>
        <w:keepLines w:val="0"/>
        <w:pageBreakBefore w:val="0"/>
        <w:widowControl/>
        <w:suppressLineNumbers w:val="0"/>
        <w:kinsoku/>
        <w:wordWrap/>
        <w:overflowPunct/>
        <w:topLinePunct w:val="0"/>
        <w:autoSpaceDE/>
        <w:autoSpaceDN/>
        <w:bidi w:val="0"/>
        <w:adjustRightInd/>
        <w:spacing w:before="0" w:beforeLines="0" w:after="0" w:afterLines="0" w:line="560" w:lineRule="exact"/>
        <w:ind w:left="0" w:leftChars="0" w:right="0" w:rightChars="0" w:firstLine="0" w:firstLineChars="0"/>
        <w:jc w:val="center"/>
        <w:textAlignment w:val="auto"/>
        <w:rPr>
          <w:rStyle w:val="6"/>
          <w:rFonts w:hint="eastAsia" w:ascii="黑体" w:hAnsi="黑体" w:eastAsia="黑体"/>
          <w:color w:val="333333"/>
          <w:sz w:val="32"/>
          <w:szCs w:val="24"/>
        </w:rPr>
      </w:pPr>
    </w:p>
    <w:p>
      <w:pPr>
        <w:pStyle w:val="8"/>
        <w:keepNext w:val="0"/>
        <w:keepLines w:val="0"/>
        <w:pageBreakBefore w:val="0"/>
        <w:widowControl/>
        <w:suppressLineNumbers w:val="0"/>
        <w:kinsoku/>
        <w:wordWrap/>
        <w:overflowPunct/>
        <w:topLinePunct w:val="0"/>
        <w:autoSpaceDE/>
        <w:autoSpaceDN/>
        <w:bidi w:val="0"/>
        <w:adjustRightInd/>
        <w:spacing w:before="0" w:beforeLines="0" w:after="0" w:afterLines="0" w:line="560" w:lineRule="exact"/>
        <w:ind w:left="0" w:leftChars="0" w:right="0" w:rightChars="0" w:firstLine="0" w:firstLineChars="0"/>
        <w:jc w:val="center"/>
        <w:textAlignment w:val="auto"/>
        <w:rPr>
          <w:rStyle w:val="6"/>
          <w:rFonts w:hint="eastAsia" w:ascii="黑体" w:hAnsi="黑体" w:eastAsia="黑体"/>
          <w:color w:val="333333"/>
          <w:sz w:val="32"/>
          <w:szCs w:val="24"/>
        </w:rPr>
      </w:pPr>
      <w:r>
        <w:rPr>
          <w:rStyle w:val="6"/>
          <w:rFonts w:hint="eastAsia" w:ascii="黑体" w:hAnsi="黑体" w:eastAsia="黑体"/>
          <w:color w:val="333333"/>
          <w:sz w:val="32"/>
          <w:szCs w:val="24"/>
        </w:rPr>
        <w:t>第三部分</w:t>
      </w:r>
      <w:r>
        <w:rPr>
          <w:rStyle w:val="6"/>
          <w:rFonts w:hint="eastAsia" w:ascii="黑体" w:hAnsi="黑体" w:eastAsia="黑体"/>
          <w:color w:val="333333"/>
          <w:sz w:val="32"/>
          <w:szCs w:val="24"/>
          <w:lang w:val="en-US"/>
        </w:rPr>
        <w:t xml:space="preserve"> </w:t>
      </w:r>
      <w:r>
        <w:rPr>
          <w:rStyle w:val="6"/>
          <w:rFonts w:hint="eastAsia" w:ascii="黑体" w:hAnsi="黑体" w:eastAsia="黑体"/>
          <w:color w:val="333333"/>
          <w:sz w:val="32"/>
          <w:szCs w:val="24"/>
        </w:rPr>
        <w:t xml:space="preserve"> </w:t>
      </w:r>
      <w:r>
        <w:rPr>
          <w:rStyle w:val="6"/>
          <w:rFonts w:hint="eastAsia" w:ascii="黑体" w:hAnsi="黑体" w:eastAsia="黑体"/>
          <w:color w:val="333333"/>
          <w:sz w:val="32"/>
          <w:szCs w:val="24"/>
          <w:lang w:val="en-US"/>
        </w:rPr>
        <w:t>新疆维吾尔自治区</w:t>
      </w:r>
      <w:r>
        <w:rPr>
          <w:rStyle w:val="6"/>
          <w:rFonts w:hint="eastAsia" w:ascii="黑体" w:hAnsi="黑体" w:eastAsia="黑体"/>
          <w:color w:val="333333"/>
          <w:sz w:val="32"/>
          <w:szCs w:val="24"/>
          <w:lang w:eastAsia="zh-CN"/>
        </w:rPr>
        <w:t>信访局</w:t>
      </w:r>
      <w:r>
        <w:rPr>
          <w:rStyle w:val="6"/>
          <w:rFonts w:hint="eastAsia" w:ascii="黑体" w:hAnsi="黑体" w:eastAsia="黑体"/>
          <w:color w:val="333333"/>
          <w:sz w:val="32"/>
          <w:szCs w:val="24"/>
        </w:rPr>
        <w:t>201</w:t>
      </w:r>
      <w:r>
        <w:rPr>
          <w:rStyle w:val="6"/>
          <w:rFonts w:hint="eastAsia" w:ascii="黑体" w:hAnsi="黑体" w:eastAsia="黑体"/>
          <w:color w:val="333333"/>
          <w:sz w:val="32"/>
          <w:szCs w:val="24"/>
          <w:lang w:val="en-US"/>
        </w:rPr>
        <w:t>6</w:t>
      </w:r>
      <w:r>
        <w:rPr>
          <w:rStyle w:val="6"/>
          <w:rFonts w:hint="eastAsia" w:ascii="黑体" w:hAnsi="黑体" w:eastAsia="黑体"/>
          <w:color w:val="333333"/>
          <w:sz w:val="32"/>
          <w:szCs w:val="24"/>
        </w:rPr>
        <w:t>年部门预算</w:t>
      </w:r>
      <w:r>
        <w:rPr>
          <w:rStyle w:val="6"/>
          <w:rFonts w:hint="default" w:ascii="黑体" w:hAnsi="黑体" w:eastAsia="黑体"/>
          <w:color w:val="333333"/>
          <w:sz w:val="32"/>
          <w:szCs w:val="24"/>
          <w:lang w:val="en-US"/>
        </w:rPr>
        <w:t>和“三公”经费预算</w:t>
      </w:r>
      <w:r>
        <w:rPr>
          <w:rStyle w:val="6"/>
          <w:rFonts w:hint="eastAsia" w:ascii="黑体" w:hAnsi="黑体" w:eastAsia="黑体"/>
          <w:color w:val="333333"/>
          <w:sz w:val="32"/>
          <w:szCs w:val="24"/>
        </w:rPr>
        <w:t xml:space="preserve">安排情况说明 </w:t>
      </w:r>
    </w:p>
    <w:p>
      <w:pPr>
        <w:pStyle w:val="8"/>
        <w:keepNext w:val="0"/>
        <w:keepLines w:val="0"/>
        <w:pageBreakBefore w:val="0"/>
        <w:widowControl/>
        <w:suppressLineNumbers w:val="0"/>
        <w:kinsoku/>
        <w:wordWrap/>
        <w:overflowPunct/>
        <w:topLinePunct w:val="0"/>
        <w:autoSpaceDE/>
        <w:autoSpaceDN/>
        <w:bidi w:val="0"/>
        <w:adjustRightInd/>
        <w:spacing w:before="0" w:beforeLines="0" w:after="0" w:afterLines="0" w:line="560" w:lineRule="exact"/>
        <w:ind w:left="0" w:leftChars="0" w:right="0" w:rightChars="0" w:firstLine="0" w:firstLineChars="0"/>
        <w:jc w:val="center"/>
        <w:textAlignment w:val="auto"/>
        <w:rPr>
          <w:rStyle w:val="6"/>
          <w:rFonts w:hint="eastAsia" w:ascii="黑体" w:hAnsi="黑体" w:eastAsia="黑体"/>
          <w:color w:val="333333"/>
          <w:sz w:val="32"/>
          <w:szCs w:val="24"/>
        </w:rPr>
      </w:pP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auto"/>
        <w:ind w:left="0" w:leftChars="0" w:right="0" w:rightChars="0" w:firstLine="643" w:firstLineChars="200"/>
        <w:jc w:val="left"/>
        <w:textAlignment w:val="auto"/>
        <w:outlineLvl w:val="9"/>
        <w:rPr>
          <w:rFonts w:hint="eastAsia" w:ascii="仿宋_GB2312" w:hAnsi="仿宋_GB2312" w:eastAsia="仿宋_GB2312"/>
          <w:b/>
          <w:bCs/>
          <w:i w:val="0"/>
          <w:snapToGrid/>
          <w:color w:val="000000"/>
          <w:sz w:val="32"/>
          <w:shd w:val="clear" w:color="auto" w:fill="FFFFFF"/>
          <w:lang w:val="en-US" w:eastAsia="zh-CN"/>
        </w:rPr>
      </w:pPr>
      <w:r>
        <w:rPr>
          <w:rFonts w:hint="default" w:ascii="仿宋_GB2312" w:hAnsi="仿宋_GB2312" w:eastAsia="仿宋_GB2312"/>
          <w:b/>
          <w:bCs/>
          <w:i w:val="0"/>
          <w:snapToGrid/>
          <w:color w:val="000000"/>
          <w:sz w:val="32"/>
          <w:shd w:val="clear" w:color="auto" w:fill="FFFFFF"/>
          <w:lang w:val="en-US" w:eastAsia="zh-CN"/>
        </w:rPr>
        <w:t>一、2016年部门预算情况</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auto"/>
        <w:ind w:left="0" w:leftChars="0" w:right="0" w:rightChars="0" w:firstLine="420" w:firstLineChars="0"/>
        <w:jc w:val="left"/>
        <w:textAlignment w:val="auto"/>
        <w:outlineLvl w:val="9"/>
        <w:rPr>
          <w:rFonts w:hint="eastAsia" w:ascii="仿宋_GB2312" w:hAnsi="仿宋_GB2312" w:eastAsia="仿宋_GB2312"/>
          <w:b w:val="0"/>
          <w:i w:val="0"/>
          <w:snapToGrid/>
          <w:color w:val="000000"/>
          <w:sz w:val="32"/>
          <w:shd w:val="clear" w:color="auto" w:fill="FFFFFF"/>
          <w:lang w:eastAsia="zh-CN"/>
        </w:rPr>
      </w:pPr>
      <w:r>
        <w:rPr>
          <w:rFonts w:hint="eastAsia" w:ascii="仿宋_GB2312" w:hAnsi="仿宋_GB2312" w:eastAsia="仿宋_GB2312"/>
          <w:b w:val="0"/>
          <w:i w:val="0"/>
          <w:snapToGrid/>
          <w:color w:val="000000"/>
          <w:sz w:val="32"/>
          <w:shd w:val="clear" w:color="auto" w:fill="FFFFFF"/>
          <w:lang w:eastAsia="zh-CN"/>
        </w:rPr>
        <w:t>（一）收支总体情况</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auto"/>
        <w:ind w:left="0" w:leftChars="0" w:right="0" w:rightChars="0" w:firstLine="640" w:firstLineChars="0"/>
        <w:jc w:val="left"/>
        <w:textAlignment w:val="auto"/>
        <w:outlineLvl w:val="9"/>
        <w:rPr>
          <w:rFonts w:hint="eastAsia" w:ascii="仿宋_GB2312" w:hAnsi="仿宋_GB2312" w:eastAsia="仿宋_GB2312"/>
          <w:b w:val="0"/>
          <w:i w:val="0"/>
          <w:snapToGrid/>
          <w:color w:val="000000"/>
          <w:sz w:val="32"/>
          <w:shd w:val="clear" w:color="auto" w:fill="FFFFFF"/>
          <w:lang w:eastAsia="zh-CN"/>
        </w:rPr>
      </w:pPr>
      <w:r>
        <w:rPr>
          <w:rFonts w:hint="eastAsia" w:ascii="仿宋_GB2312" w:hAnsi="仿宋_GB2312" w:eastAsia="仿宋_GB2312"/>
          <w:b w:val="0"/>
          <w:i w:val="0"/>
          <w:snapToGrid/>
          <w:color w:val="000000"/>
          <w:sz w:val="32"/>
          <w:shd w:val="clear" w:color="auto" w:fill="FFFFFF"/>
          <w:lang w:eastAsia="zh-CN"/>
        </w:rPr>
        <w:t>根据自治区财政厅《关于下达自治区本级预算单位201</w:t>
      </w:r>
      <w:r>
        <w:rPr>
          <w:rFonts w:hint="default" w:ascii="仿宋_GB2312" w:hAnsi="仿宋_GB2312" w:eastAsia="仿宋_GB2312"/>
          <w:b w:val="0"/>
          <w:i w:val="0"/>
          <w:snapToGrid/>
          <w:color w:val="000000"/>
          <w:sz w:val="32"/>
          <w:shd w:val="clear" w:color="auto" w:fill="FFFFFF"/>
          <w:lang w:val="en-US" w:eastAsia="zh-CN"/>
        </w:rPr>
        <w:t>6</w:t>
      </w:r>
      <w:r>
        <w:rPr>
          <w:rFonts w:hint="eastAsia" w:ascii="仿宋_GB2312" w:hAnsi="仿宋_GB2312" w:eastAsia="仿宋_GB2312"/>
          <w:b w:val="0"/>
          <w:i w:val="0"/>
          <w:snapToGrid/>
          <w:color w:val="000000"/>
          <w:sz w:val="32"/>
          <w:shd w:val="clear" w:color="auto" w:fill="FFFFFF"/>
          <w:lang w:eastAsia="zh-CN"/>
        </w:rPr>
        <w:t>年度部门预算的通知》</w:t>
      </w:r>
      <w:r>
        <w:rPr>
          <w:rFonts w:hint="eastAsia" w:ascii="仿宋_GB2312" w:hAnsi="仿宋_GB2312" w:eastAsia="仿宋_GB2312"/>
          <w:b w:val="0"/>
          <w:i w:val="0"/>
          <w:snapToGrid/>
          <w:color w:val="000000"/>
          <w:sz w:val="32"/>
          <w:highlight w:val="none"/>
          <w:shd w:val="clear" w:color="auto" w:fill="FFFFFF"/>
          <w:lang w:eastAsia="zh-CN"/>
        </w:rPr>
        <w:t>（新财预〔201</w:t>
      </w:r>
      <w:r>
        <w:rPr>
          <w:rFonts w:hint="default" w:ascii="仿宋_GB2312" w:hAnsi="仿宋_GB2312" w:eastAsia="仿宋_GB2312"/>
          <w:b w:val="0"/>
          <w:i w:val="0"/>
          <w:snapToGrid/>
          <w:color w:val="000000"/>
          <w:sz w:val="32"/>
          <w:highlight w:val="none"/>
          <w:shd w:val="clear" w:color="auto" w:fill="FFFFFF"/>
          <w:lang w:val="en-US" w:eastAsia="zh-CN"/>
        </w:rPr>
        <w:t>6</w:t>
      </w:r>
      <w:r>
        <w:rPr>
          <w:rFonts w:hint="eastAsia" w:ascii="仿宋_GB2312" w:hAnsi="仿宋_GB2312" w:eastAsia="仿宋_GB2312"/>
          <w:b w:val="0"/>
          <w:i w:val="0"/>
          <w:snapToGrid/>
          <w:color w:val="000000"/>
          <w:sz w:val="32"/>
          <w:highlight w:val="none"/>
          <w:shd w:val="clear" w:color="auto" w:fill="FFFFFF"/>
          <w:lang w:eastAsia="zh-CN"/>
        </w:rPr>
        <w:t>〕1号），</w:t>
      </w:r>
      <w:r>
        <w:rPr>
          <w:rFonts w:hint="eastAsia" w:ascii="仿宋_GB2312" w:hAnsi="仿宋_GB2312" w:eastAsia="仿宋_GB2312"/>
          <w:b w:val="0"/>
          <w:i w:val="0"/>
          <w:snapToGrid/>
          <w:color w:val="000000"/>
          <w:sz w:val="32"/>
          <w:shd w:val="clear" w:color="auto" w:fill="FFFFFF"/>
          <w:lang w:eastAsia="zh-CN"/>
        </w:rPr>
        <w:t>自治区信访局收入预算为</w:t>
      </w:r>
      <w:r>
        <w:rPr>
          <w:rFonts w:hint="eastAsia" w:ascii="仿宋_GB2312" w:hAnsi="仿宋_GB2312" w:eastAsia="仿宋_GB2312"/>
          <w:b w:val="0"/>
          <w:i w:val="0"/>
          <w:snapToGrid/>
          <w:color w:val="000000"/>
          <w:sz w:val="32"/>
          <w:shd w:val="clear" w:color="auto" w:fill="FFFFFF"/>
          <w:lang w:val="en-US" w:eastAsia="zh-CN"/>
        </w:rPr>
        <w:t>1478.01</w:t>
      </w:r>
      <w:r>
        <w:rPr>
          <w:rFonts w:hint="eastAsia" w:ascii="仿宋_GB2312" w:hAnsi="仿宋_GB2312" w:eastAsia="仿宋_GB2312"/>
          <w:b w:val="0"/>
          <w:i w:val="0"/>
          <w:snapToGrid/>
          <w:color w:val="000000"/>
          <w:sz w:val="32"/>
          <w:shd w:val="clear" w:color="auto" w:fill="FFFFFF"/>
          <w:lang w:eastAsia="zh-CN"/>
        </w:rPr>
        <w:t>万元，全部为一般公共预算拨款。</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240" w:lineRule="auto"/>
        <w:ind w:left="0" w:leftChars="0" w:right="0" w:rightChars="0" w:firstLine="640" w:firstLineChars="0"/>
        <w:jc w:val="left"/>
        <w:textAlignment w:val="auto"/>
        <w:rPr>
          <w:rFonts w:hint="eastAsia" w:ascii="仿宋_GB2312" w:hAnsi="仿宋_GB2312" w:eastAsia="仿宋_GB2312"/>
          <w:b w:val="0"/>
          <w:i w:val="0"/>
          <w:snapToGrid/>
          <w:color w:val="000000"/>
          <w:sz w:val="32"/>
          <w:shd w:val="clear" w:color="auto" w:fill="FFFFFF"/>
          <w:lang w:eastAsia="zh-CN"/>
        </w:rPr>
      </w:pPr>
      <w:r>
        <w:rPr>
          <w:rFonts w:hint="eastAsia" w:ascii="仿宋_GB2312" w:hAnsi="仿宋_GB2312" w:eastAsia="仿宋_GB2312"/>
          <w:b w:val="0"/>
          <w:i w:val="0"/>
          <w:snapToGrid/>
          <w:color w:val="000000"/>
          <w:sz w:val="32"/>
          <w:shd w:val="clear" w:color="auto" w:fill="FFFFFF"/>
          <w:lang w:eastAsia="zh-CN"/>
        </w:rPr>
        <w:t>按照收支平衡的原则，201</w:t>
      </w:r>
      <w:r>
        <w:rPr>
          <w:rFonts w:hint="default" w:ascii="仿宋_GB2312" w:hAnsi="仿宋_GB2312" w:eastAsia="仿宋_GB2312"/>
          <w:b w:val="0"/>
          <w:i w:val="0"/>
          <w:snapToGrid/>
          <w:color w:val="000000"/>
          <w:sz w:val="32"/>
          <w:shd w:val="clear" w:color="auto" w:fill="FFFFFF"/>
          <w:lang w:val="en-US" w:eastAsia="zh-CN"/>
        </w:rPr>
        <w:t>6</w:t>
      </w:r>
      <w:r>
        <w:rPr>
          <w:rFonts w:hint="eastAsia" w:ascii="仿宋_GB2312" w:hAnsi="仿宋_GB2312" w:eastAsia="仿宋_GB2312"/>
          <w:b w:val="0"/>
          <w:i w:val="0"/>
          <w:snapToGrid/>
          <w:color w:val="000000"/>
          <w:sz w:val="32"/>
          <w:shd w:val="clear" w:color="auto" w:fill="FFFFFF"/>
          <w:lang w:eastAsia="zh-CN"/>
        </w:rPr>
        <w:t>年自治区信访局支出预算总额为</w:t>
      </w:r>
      <w:r>
        <w:rPr>
          <w:rFonts w:hint="eastAsia" w:ascii="仿宋_GB2312" w:hAnsi="仿宋_GB2312" w:eastAsia="仿宋_GB2312"/>
          <w:b w:val="0"/>
          <w:i w:val="0"/>
          <w:snapToGrid/>
          <w:color w:val="000000"/>
          <w:sz w:val="32"/>
          <w:shd w:val="clear" w:color="auto" w:fill="FFFFFF"/>
          <w:lang w:val="en-US" w:eastAsia="zh-CN"/>
        </w:rPr>
        <w:t>1478.01</w:t>
      </w:r>
      <w:r>
        <w:rPr>
          <w:rFonts w:hint="eastAsia" w:ascii="仿宋_GB2312" w:hAnsi="仿宋_GB2312" w:eastAsia="仿宋_GB2312"/>
          <w:b w:val="0"/>
          <w:i w:val="0"/>
          <w:snapToGrid/>
          <w:color w:val="000000"/>
          <w:sz w:val="32"/>
          <w:shd w:val="clear" w:color="auto" w:fill="FFFFFF"/>
          <w:lang w:eastAsia="zh-CN"/>
        </w:rPr>
        <w:t>万元，其中：基本支出预算</w:t>
      </w:r>
      <w:r>
        <w:rPr>
          <w:rFonts w:hint="eastAsia" w:ascii="仿宋_GB2312" w:hAnsi="仿宋_GB2312" w:eastAsia="仿宋_GB2312"/>
          <w:b w:val="0"/>
          <w:i w:val="0"/>
          <w:snapToGrid/>
          <w:color w:val="000000"/>
          <w:sz w:val="32"/>
          <w:shd w:val="clear" w:color="auto" w:fill="FFFFFF"/>
          <w:lang w:val="en-US" w:eastAsia="zh-CN"/>
        </w:rPr>
        <w:t>926</w:t>
      </w:r>
      <w:r>
        <w:rPr>
          <w:rFonts w:hint="eastAsia" w:ascii="仿宋_GB2312" w:hAnsi="仿宋_GB2312" w:eastAsia="仿宋_GB2312"/>
          <w:b w:val="0"/>
          <w:i w:val="0"/>
          <w:snapToGrid/>
          <w:color w:val="000000"/>
          <w:sz w:val="32"/>
          <w:shd w:val="clear" w:color="auto" w:fill="FFFFFF"/>
          <w:lang w:eastAsia="zh-CN"/>
        </w:rPr>
        <w:t>万元，项目支出预算</w:t>
      </w:r>
      <w:r>
        <w:rPr>
          <w:rFonts w:hint="eastAsia" w:ascii="仿宋_GB2312" w:hAnsi="仿宋_GB2312" w:eastAsia="仿宋_GB2312"/>
          <w:b w:val="0"/>
          <w:i w:val="0"/>
          <w:snapToGrid/>
          <w:color w:val="000000"/>
          <w:sz w:val="32"/>
          <w:shd w:val="clear" w:color="auto" w:fill="FFFFFF"/>
          <w:lang w:val="en-US" w:eastAsia="zh-CN"/>
        </w:rPr>
        <w:t>552.01</w:t>
      </w:r>
      <w:r>
        <w:rPr>
          <w:rFonts w:hint="eastAsia" w:ascii="仿宋_GB2312" w:hAnsi="仿宋_GB2312" w:eastAsia="仿宋_GB2312"/>
          <w:b w:val="0"/>
          <w:i w:val="0"/>
          <w:snapToGrid/>
          <w:color w:val="000000"/>
          <w:sz w:val="32"/>
          <w:shd w:val="clear" w:color="auto" w:fill="FFFFFF"/>
          <w:lang w:eastAsia="zh-CN"/>
        </w:rPr>
        <w:t>万元。</w:t>
      </w:r>
    </w:p>
    <w:p>
      <w:pPr>
        <w:keepNext w:val="0"/>
        <w:keepLines w:val="0"/>
        <w:pageBreakBefore w:val="0"/>
        <w:shd w:val="solid" w:color="FFFFFF" w:fill="auto"/>
        <w:kinsoku/>
        <w:wordWrap/>
        <w:overflowPunct/>
        <w:topLinePunct w:val="0"/>
        <w:autoSpaceDE/>
        <w:autoSpaceDN w:val="0"/>
        <w:bidi w:val="0"/>
        <w:adjustRightInd/>
        <w:snapToGrid/>
        <w:spacing w:before="0" w:beforeLines="0" w:after="0" w:afterLines="0" w:line="240" w:lineRule="auto"/>
        <w:ind w:left="0" w:leftChars="0" w:right="0" w:rightChars="0" w:firstLine="420"/>
        <w:jc w:val="left"/>
        <w:textAlignment w:val="auto"/>
        <w:rPr>
          <w:rFonts w:hint="eastAsia" w:ascii="仿宋_GB2312" w:hAnsi="仿宋_GB2312" w:eastAsia="仿宋_GB2312"/>
          <w:b w:val="0"/>
          <w:i w:val="0"/>
          <w:snapToGrid/>
          <w:color w:val="000000"/>
          <w:sz w:val="32"/>
          <w:shd w:val="clear" w:color="auto" w:fill="FFFFFF"/>
          <w:lang w:eastAsia="zh-CN"/>
        </w:rPr>
      </w:pPr>
      <w:r>
        <w:rPr>
          <w:rFonts w:hint="eastAsia" w:ascii="仿宋_GB2312" w:hAnsi="仿宋_GB2312" w:eastAsia="仿宋_GB2312"/>
          <w:b w:val="0"/>
          <w:i w:val="0"/>
          <w:snapToGrid/>
          <w:color w:val="000000"/>
          <w:sz w:val="32"/>
          <w:shd w:val="clear" w:color="auto" w:fill="FFFFFF"/>
          <w:lang w:eastAsia="zh-CN"/>
        </w:rPr>
        <w:t>（二）预算支出主要内容</w:t>
      </w:r>
    </w:p>
    <w:p>
      <w:pPr>
        <w:pStyle w:val="3"/>
        <w:keepNext w:val="0"/>
        <w:keepLines w:val="0"/>
        <w:widowControl/>
        <w:suppressLineNumbers w:val="0"/>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信访局2016年一般公共预算基本支出926万元，其中：</w:t>
      </w:r>
    </w:p>
    <w:p>
      <w:pPr>
        <w:pStyle w:val="3"/>
        <w:keepNext w:val="0"/>
        <w:keepLines w:val="0"/>
        <w:widowControl/>
        <w:suppressLineNumbers w:val="0"/>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人员经费598.72万元，主要包括：基本工资231.97万元、津贴补贴296.83万元、奖金19.33万元、社会保险缴费85.35万元、养老保险-35.44万元、职业年金-16.77万元、其他工资福利支出15.55万元。</w:t>
      </w:r>
    </w:p>
    <w:p>
      <w:pPr>
        <w:pStyle w:val="3"/>
        <w:keepNext w:val="0"/>
        <w:keepLines w:val="0"/>
        <w:widowControl/>
        <w:suppressLineNumbers w:val="0"/>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对个人家庭补助支出107.68万元，主要包括：退休费20.31万元、津贴补贴16.4万元、住房公积金64.49万元、医疗费5.76万元、其他对个人和家庭补助支出0.72万元。</w:t>
      </w:r>
    </w:p>
    <w:p>
      <w:pPr>
        <w:pStyle w:val="3"/>
        <w:keepNext w:val="0"/>
        <w:keepLines w:val="0"/>
        <w:widowControl/>
        <w:suppressLineNumbers w:val="0"/>
        <w:ind w:firstLine="64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公用经费219.6万元，主要包括：办公费83.38万元、印刷费10万元、水费1万元、电费2万元、邮电费5万元、取暖费25万元、公务车运行维护费25万元、差旅费40万元、会议费6万元、物业管理费5万元、培训费3万元、公务接待费0万元、工会经费6万元、福利费5.4万元、其他商品服务支出2.52万元。</w:t>
      </w:r>
    </w:p>
    <w:p>
      <w:pPr>
        <w:keepNext w:val="0"/>
        <w:keepLines w:val="0"/>
        <w:pageBreakBefore w:val="0"/>
        <w:shd w:val="solid" w:color="FFFFFF" w:fill="auto"/>
        <w:kinsoku/>
        <w:wordWrap/>
        <w:overflowPunct/>
        <w:topLinePunct w:val="0"/>
        <w:autoSpaceDE/>
        <w:autoSpaceDN w:val="0"/>
        <w:bidi w:val="0"/>
        <w:snapToGrid/>
        <w:spacing w:before="0" w:beforeLines="0" w:after="0" w:afterLines="0" w:line="240" w:lineRule="auto"/>
        <w:ind w:left="0" w:leftChars="0" w:right="0" w:rightChars="0" w:firstLine="640" w:firstLineChars="200"/>
        <w:jc w:val="left"/>
        <w:textAlignment w:val="auto"/>
        <w:rPr>
          <w:rFonts w:hint="default" w:ascii="仿宋_GB2312" w:hAnsi="仿宋_GB2312" w:eastAsia="仿宋_GB2312"/>
          <w:b w:val="0"/>
          <w:snapToGrid/>
          <w:sz w:val="32"/>
          <w:shd w:val="clear" w:color="auto" w:fill="FFFFFF"/>
          <w:lang w:val="en-US" w:eastAsia="zh-CN"/>
        </w:rPr>
      </w:pPr>
      <w:r>
        <w:rPr>
          <w:rFonts w:hint="eastAsia" w:ascii="仿宋_GB2312" w:hAnsi="仿宋_GB2312" w:eastAsia="仿宋_GB2312"/>
          <w:b w:val="0"/>
          <w:snapToGrid/>
          <w:sz w:val="32"/>
          <w:shd w:val="clear" w:color="auto" w:fill="FFFFFF"/>
        </w:rPr>
        <w:t>项</w:t>
      </w:r>
      <w:r>
        <w:rPr>
          <w:rFonts w:hint="eastAsia" w:ascii="仿宋_GB2312" w:hAnsi="仿宋_GB2312" w:eastAsia="仿宋_GB2312"/>
          <w:b w:val="0"/>
          <w:i w:val="0"/>
          <w:snapToGrid/>
          <w:color w:val="000000"/>
          <w:sz w:val="32"/>
          <w:shd w:val="clear" w:color="auto" w:fill="FFFFFF"/>
          <w:lang w:val="en-US" w:eastAsia="zh-CN"/>
        </w:rPr>
        <w:t>目支出552.01万元，主要项目有联防队员误餐费及工作服专项经费40万元；联席办工作经费16.24万元；绿色邮政8.13万元；全区网上信访信息系统运行建设费110万元；误餐费27.08万元；信访接访大厅改造项目26万元；信访特费27.08万元；信访系统干部培训费24.37万元；信访信息系统运行维护费73.11万元；自治区驻京信访工作组工作经费200万元。</w:t>
      </w:r>
      <w:r>
        <w:rPr>
          <w:rFonts w:hint="eastAsia" w:ascii="宋体" w:hAnsi="宋体" w:cs="宋体"/>
          <w:color w:val="000000"/>
          <w:kern w:val="0"/>
          <w:sz w:val="20"/>
          <w:szCs w:val="20"/>
          <w:lang w:val="en-US" w:eastAsia="zh-CN"/>
        </w:rPr>
        <w:t>　</w:t>
      </w:r>
    </w:p>
    <w:p>
      <w:pPr>
        <w:keepNext w:val="0"/>
        <w:keepLines w:val="0"/>
        <w:pageBreakBefore w:val="0"/>
        <w:shd w:val="solid" w:color="FFFFFF" w:fill="auto"/>
        <w:kinsoku/>
        <w:wordWrap/>
        <w:overflowPunct/>
        <w:topLinePunct w:val="0"/>
        <w:autoSpaceDE/>
        <w:autoSpaceDN w:val="0"/>
        <w:bidi w:val="0"/>
        <w:snapToGrid/>
        <w:spacing w:before="0" w:beforeLines="0" w:after="0" w:afterLines="0" w:line="240" w:lineRule="auto"/>
        <w:ind w:left="0" w:leftChars="0" w:right="0" w:rightChars="0" w:firstLine="640" w:firstLineChars="200"/>
        <w:jc w:val="left"/>
        <w:textAlignment w:val="auto"/>
        <w:rPr>
          <w:rFonts w:hint="default" w:ascii="仿宋_GB2312" w:hAnsi="仿宋_GB2312" w:eastAsia="仿宋_GB2312"/>
          <w:b w:val="0"/>
          <w:snapToGrid/>
          <w:sz w:val="32"/>
          <w:shd w:val="clear" w:color="auto" w:fill="FFFFFF"/>
          <w:lang w:val="en-US" w:eastAsia="zh-CN"/>
        </w:rPr>
      </w:pPr>
      <w:r>
        <w:rPr>
          <w:rFonts w:hint="default" w:ascii="仿宋_GB2312" w:hAnsi="仿宋_GB2312" w:eastAsia="仿宋_GB2312"/>
          <w:b w:val="0"/>
          <w:snapToGrid/>
          <w:sz w:val="32"/>
          <w:shd w:val="clear" w:color="auto" w:fill="FFFFFF"/>
          <w:lang w:val="en-US" w:eastAsia="zh-CN"/>
        </w:rPr>
        <w:t>（三）各项预算指标比较</w:t>
      </w:r>
    </w:p>
    <w:p>
      <w:pPr>
        <w:keepNext w:val="0"/>
        <w:keepLines w:val="0"/>
        <w:pageBreakBefore w:val="0"/>
        <w:shd w:val="solid" w:color="FFFFFF" w:fill="auto"/>
        <w:kinsoku/>
        <w:wordWrap/>
        <w:overflowPunct/>
        <w:topLinePunct w:val="0"/>
        <w:autoSpaceDE/>
        <w:autoSpaceDN w:val="0"/>
        <w:bidi w:val="0"/>
        <w:snapToGrid/>
        <w:spacing w:before="0" w:beforeLines="0" w:after="0" w:afterLines="0" w:line="240" w:lineRule="auto"/>
        <w:ind w:left="0" w:leftChars="0" w:right="0" w:rightChars="0" w:firstLine="640" w:firstLineChars="200"/>
        <w:jc w:val="left"/>
        <w:textAlignment w:val="auto"/>
        <w:rPr>
          <w:rFonts w:hint="default" w:ascii="仿宋_GB2312" w:hAnsi="仿宋_GB2312" w:eastAsia="仿宋_GB2312"/>
          <w:b w:val="0"/>
          <w:i w:val="0"/>
          <w:snapToGrid/>
          <w:color w:val="000000"/>
          <w:sz w:val="32"/>
          <w:shd w:val="clear" w:color="auto" w:fill="FFFFFF"/>
          <w:lang w:val="en-US" w:eastAsia="zh-CN"/>
        </w:rPr>
      </w:pPr>
      <w:r>
        <w:rPr>
          <w:rFonts w:hint="default" w:ascii="仿宋_GB2312" w:hAnsi="仿宋_GB2312" w:eastAsia="仿宋_GB2312"/>
          <w:b w:val="0"/>
          <w:i w:val="0"/>
          <w:snapToGrid/>
          <w:color w:val="000000"/>
          <w:sz w:val="32"/>
          <w:shd w:val="clear" w:color="auto" w:fill="FFFFFF"/>
          <w:lang w:val="en-US" w:eastAsia="zh-CN"/>
        </w:rPr>
        <w:t>2016年</w:t>
      </w:r>
      <w:r>
        <w:rPr>
          <w:rFonts w:hint="eastAsia" w:ascii="仿宋_GB2312" w:hAnsi="仿宋_GB2312" w:eastAsia="仿宋_GB2312"/>
          <w:b w:val="0"/>
          <w:i w:val="0"/>
          <w:snapToGrid/>
          <w:color w:val="000000"/>
          <w:sz w:val="32"/>
          <w:shd w:val="clear" w:color="auto" w:fill="FFFFFF"/>
          <w:lang w:eastAsia="zh-CN"/>
        </w:rPr>
        <w:t>自治区信访局收</w:t>
      </w:r>
      <w:r>
        <w:rPr>
          <w:rFonts w:hint="default" w:ascii="仿宋_GB2312" w:hAnsi="仿宋_GB2312" w:eastAsia="仿宋_GB2312"/>
          <w:b w:val="0"/>
          <w:i w:val="0"/>
          <w:snapToGrid/>
          <w:color w:val="000000"/>
          <w:sz w:val="32"/>
          <w:shd w:val="clear" w:color="auto" w:fill="FFFFFF"/>
          <w:lang w:val="en-US" w:eastAsia="zh-CN"/>
        </w:rPr>
        <w:t>支</w:t>
      </w:r>
      <w:r>
        <w:rPr>
          <w:rFonts w:hint="eastAsia" w:ascii="仿宋_GB2312" w:hAnsi="仿宋_GB2312" w:eastAsia="仿宋_GB2312"/>
          <w:b w:val="0"/>
          <w:i w:val="0"/>
          <w:snapToGrid/>
          <w:color w:val="000000"/>
          <w:sz w:val="32"/>
          <w:shd w:val="clear" w:color="auto" w:fill="FFFFFF"/>
          <w:lang w:eastAsia="zh-CN"/>
        </w:rPr>
        <w:t>预算为</w:t>
      </w:r>
      <w:r>
        <w:rPr>
          <w:rFonts w:hint="eastAsia" w:ascii="仿宋_GB2312" w:hAnsi="仿宋_GB2312" w:eastAsia="仿宋_GB2312"/>
          <w:b w:val="0"/>
          <w:i w:val="0"/>
          <w:snapToGrid/>
          <w:color w:val="000000"/>
          <w:sz w:val="32"/>
          <w:shd w:val="clear" w:color="auto" w:fill="FFFFFF"/>
          <w:lang w:val="en-US" w:eastAsia="zh-CN"/>
        </w:rPr>
        <w:t>1478.01</w:t>
      </w:r>
      <w:r>
        <w:rPr>
          <w:rFonts w:hint="eastAsia" w:ascii="仿宋_GB2312" w:hAnsi="仿宋_GB2312" w:eastAsia="仿宋_GB2312"/>
          <w:b w:val="0"/>
          <w:i w:val="0"/>
          <w:snapToGrid/>
          <w:color w:val="000000"/>
          <w:sz w:val="32"/>
          <w:shd w:val="clear" w:color="auto" w:fill="FFFFFF"/>
          <w:lang w:eastAsia="zh-CN"/>
        </w:rPr>
        <w:t>万元，</w:t>
      </w:r>
      <w:r>
        <w:rPr>
          <w:rFonts w:hint="default" w:ascii="仿宋_GB2312" w:hAnsi="仿宋_GB2312" w:eastAsia="仿宋_GB2312"/>
          <w:b w:val="0"/>
          <w:i w:val="0"/>
          <w:snapToGrid/>
          <w:color w:val="000000"/>
          <w:sz w:val="32"/>
          <w:shd w:val="clear" w:color="auto" w:fill="FFFFFF"/>
          <w:lang w:val="en-US" w:eastAsia="zh-CN"/>
        </w:rPr>
        <w:t>比2015年收支预算</w:t>
      </w:r>
      <w:r>
        <w:rPr>
          <w:rFonts w:hint="eastAsia" w:ascii="仿宋_GB2312" w:hAnsi="仿宋_GB2312" w:eastAsia="仿宋_GB2312"/>
          <w:b w:val="0"/>
          <w:i w:val="0"/>
          <w:snapToGrid/>
          <w:color w:val="000000"/>
          <w:sz w:val="32"/>
          <w:shd w:val="clear" w:color="auto" w:fill="FFFFFF"/>
          <w:lang w:val="en-US" w:eastAsia="zh-CN"/>
        </w:rPr>
        <w:t>1124.08</w:t>
      </w:r>
      <w:r>
        <w:rPr>
          <w:rFonts w:hint="default" w:ascii="仿宋_GB2312" w:hAnsi="仿宋_GB2312" w:eastAsia="仿宋_GB2312"/>
          <w:b w:val="0"/>
          <w:i w:val="0"/>
          <w:snapToGrid/>
          <w:color w:val="000000"/>
          <w:sz w:val="32"/>
          <w:shd w:val="clear" w:color="auto" w:fill="FFFFFF"/>
          <w:lang w:val="en-US" w:eastAsia="zh-CN"/>
        </w:rPr>
        <w:t>万元增加</w:t>
      </w:r>
      <w:r>
        <w:rPr>
          <w:rFonts w:hint="eastAsia" w:ascii="仿宋_GB2312" w:hAnsi="仿宋_GB2312" w:eastAsia="仿宋_GB2312"/>
          <w:b w:val="0"/>
          <w:i w:val="0"/>
          <w:snapToGrid/>
          <w:color w:val="000000"/>
          <w:sz w:val="32"/>
          <w:shd w:val="clear" w:color="auto" w:fill="FFFFFF"/>
          <w:lang w:val="en-US" w:eastAsia="zh-CN"/>
        </w:rPr>
        <w:t>353.93</w:t>
      </w:r>
      <w:r>
        <w:rPr>
          <w:rFonts w:hint="default" w:ascii="仿宋_GB2312" w:hAnsi="仿宋_GB2312" w:eastAsia="仿宋_GB2312"/>
          <w:b w:val="0"/>
          <w:i w:val="0"/>
          <w:snapToGrid/>
          <w:color w:val="000000"/>
          <w:sz w:val="32"/>
          <w:shd w:val="clear" w:color="auto" w:fill="FFFFFF"/>
          <w:lang w:val="en-US" w:eastAsia="zh-CN"/>
        </w:rPr>
        <w:t>万元，增长比例</w:t>
      </w:r>
      <w:r>
        <w:rPr>
          <w:rFonts w:hint="eastAsia" w:ascii="仿宋_GB2312" w:hAnsi="仿宋_GB2312" w:eastAsia="仿宋_GB2312"/>
          <w:b w:val="0"/>
          <w:i w:val="0"/>
          <w:snapToGrid/>
          <w:color w:val="000000"/>
          <w:sz w:val="32"/>
          <w:shd w:val="clear" w:color="auto" w:fill="FFFFFF"/>
          <w:lang w:val="en-US" w:eastAsia="zh-CN"/>
        </w:rPr>
        <w:t>31.49</w:t>
      </w:r>
      <w:r>
        <w:rPr>
          <w:rFonts w:hint="default" w:ascii="仿宋_GB2312" w:hAnsi="仿宋_GB2312" w:eastAsia="仿宋_GB2312"/>
          <w:b w:val="0"/>
          <w:i w:val="0"/>
          <w:snapToGrid/>
          <w:color w:val="000000"/>
          <w:sz w:val="32"/>
          <w:shd w:val="clear" w:color="auto" w:fill="FFFFFF"/>
          <w:lang w:val="en-US" w:eastAsia="zh-CN"/>
        </w:rPr>
        <w:t>%。</w:t>
      </w:r>
    </w:p>
    <w:p>
      <w:pPr>
        <w:keepNext w:val="0"/>
        <w:keepLines w:val="0"/>
        <w:pageBreakBefore w:val="0"/>
        <w:shd w:val="solid" w:color="FFFFFF" w:fill="auto"/>
        <w:kinsoku/>
        <w:wordWrap/>
        <w:overflowPunct/>
        <w:topLinePunct w:val="0"/>
        <w:autoSpaceDE/>
        <w:autoSpaceDN w:val="0"/>
        <w:bidi w:val="0"/>
        <w:snapToGrid/>
        <w:spacing w:before="0" w:beforeLines="0" w:after="0" w:afterLines="0" w:line="240" w:lineRule="auto"/>
        <w:ind w:left="0" w:leftChars="0" w:right="0" w:rightChars="0" w:firstLine="640" w:firstLineChars="200"/>
        <w:jc w:val="left"/>
        <w:textAlignment w:val="auto"/>
        <w:rPr>
          <w:rFonts w:hint="default" w:ascii="仿宋_GB2312" w:hAnsi="仿宋_GB2312" w:eastAsia="仿宋_GB2312"/>
          <w:b w:val="0"/>
          <w:snapToGrid/>
          <w:sz w:val="32"/>
          <w:highlight w:val="none"/>
          <w:shd w:val="clear" w:color="auto" w:fill="FFFFFF"/>
          <w:lang w:val="en-US" w:eastAsia="zh-CN"/>
        </w:rPr>
      </w:pPr>
      <w:r>
        <w:rPr>
          <w:rFonts w:hint="default" w:ascii="仿宋_GB2312" w:hAnsi="仿宋_GB2312" w:eastAsia="仿宋_GB2312"/>
          <w:b w:val="0"/>
          <w:snapToGrid/>
          <w:sz w:val="32"/>
          <w:shd w:val="clear" w:color="auto" w:fill="FFFFFF"/>
          <w:lang w:val="en-US"/>
        </w:rPr>
        <w:t>2016年</w:t>
      </w:r>
      <w:r>
        <w:rPr>
          <w:rFonts w:hint="eastAsia" w:ascii="仿宋_GB2312" w:hAnsi="仿宋_GB2312" w:eastAsia="仿宋_GB2312"/>
          <w:b w:val="0"/>
          <w:snapToGrid/>
          <w:sz w:val="32"/>
          <w:shd w:val="clear" w:color="auto" w:fill="FFFFFF"/>
        </w:rPr>
        <w:t>项目支出</w:t>
      </w:r>
      <w:r>
        <w:rPr>
          <w:rFonts w:hint="eastAsia" w:ascii="仿宋_GB2312" w:hAnsi="仿宋_GB2312" w:eastAsia="仿宋_GB2312"/>
          <w:b w:val="0"/>
          <w:i w:val="0"/>
          <w:snapToGrid/>
          <w:color w:val="000000"/>
          <w:sz w:val="32"/>
          <w:shd w:val="clear" w:color="auto" w:fill="FFFFFF"/>
          <w:lang w:val="en-US" w:eastAsia="zh-CN"/>
        </w:rPr>
        <w:t>552.01</w:t>
      </w:r>
      <w:r>
        <w:rPr>
          <w:rFonts w:hint="eastAsia" w:ascii="仿宋_GB2312" w:hAnsi="仿宋_GB2312" w:eastAsia="仿宋_GB2312"/>
          <w:b w:val="0"/>
          <w:snapToGrid/>
          <w:sz w:val="32"/>
          <w:shd w:val="clear" w:color="auto" w:fill="FFFFFF"/>
        </w:rPr>
        <w:t>万元，</w:t>
      </w:r>
      <w:r>
        <w:rPr>
          <w:rFonts w:hint="default" w:ascii="仿宋_GB2312" w:hAnsi="仿宋_GB2312" w:eastAsia="仿宋_GB2312"/>
          <w:b w:val="0"/>
          <w:snapToGrid/>
          <w:sz w:val="32"/>
          <w:highlight w:val="none"/>
          <w:shd w:val="clear" w:color="auto" w:fill="FFFFFF"/>
          <w:lang w:val="en-US" w:eastAsia="zh-CN"/>
        </w:rPr>
        <w:t>与2015年部门预算项目支出</w:t>
      </w:r>
      <w:r>
        <w:rPr>
          <w:rFonts w:hint="eastAsia" w:ascii="仿宋_GB2312" w:hAnsi="仿宋_GB2312" w:eastAsia="仿宋_GB2312"/>
          <w:b w:val="0"/>
          <w:snapToGrid/>
          <w:sz w:val="32"/>
          <w:highlight w:val="none"/>
          <w:shd w:val="clear" w:color="auto" w:fill="FFFFFF"/>
          <w:lang w:val="en-US" w:eastAsia="zh-CN"/>
        </w:rPr>
        <w:t>332.05</w:t>
      </w:r>
      <w:r>
        <w:rPr>
          <w:rFonts w:hint="default" w:ascii="仿宋_GB2312" w:hAnsi="仿宋_GB2312" w:eastAsia="仿宋_GB2312"/>
          <w:b w:val="0"/>
          <w:snapToGrid/>
          <w:sz w:val="32"/>
          <w:highlight w:val="none"/>
          <w:shd w:val="clear" w:color="auto" w:fill="FFFFFF"/>
          <w:lang w:val="en-US" w:eastAsia="zh-CN"/>
        </w:rPr>
        <w:t>万元相比，</w:t>
      </w:r>
      <w:r>
        <w:rPr>
          <w:rFonts w:hint="eastAsia" w:ascii="仿宋_GB2312" w:hAnsi="仿宋_GB2312" w:eastAsia="仿宋_GB2312"/>
          <w:b w:val="0"/>
          <w:snapToGrid/>
          <w:sz w:val="32"/>
          <w:highlight w:val="none"/>
          <w:shd w:val="clear" w:color="auto" w:fill="FFFFFF"/>
          <w:lang w:val="en-US" w:eastAsia="zh-CN"/>
        </w:rPr>
        <w:t>增加219.96</w:t>
      </w:r>
      <w:r>
        <w:rPr>
          <w:rFonts w:hint="default" w:ascii="仿宋_GB2312" w:hAnsi="仿宋_GB2312" w:eastAsia="仿宋_GB2312"/>
          <w:b w:val="0"/>
          <w:snapToGrid/>
          <w:sz w:val="32"/>
          <w:highlight w:val="none"/>
          <w:shd w:val="clear" w:color="auto" w:fill="FFFFFF"/>
          <w:lang w:val="en-US" w:eastAsia="zh-CN"/>
        </w:rPr>
        <w:t>万元，</w:t>
      </w:r>
      <w:r>
        <w:rPr>
          <w:rFonts w:hint="default" w:ascii="仿宋_GB2312" w:hAnsi="仿宋_GB2312" w:eastAsia="仿宋_GB2312"/>
          <w:bCs/>
          <w:color w:val="000000"/>
          <w:sz w:val="32"/>
          <w:lang w:val="en-US"/>
        </w:rPr>
        <w:t>除</w:t>
      </w:r>
      <w:r>
        <w:rPr>
          <w:rFonts w:hint="eastAsia" w:ascii="仿宋_GB2312" w:hAnsi="仿宋_GB2312" w:eastAsia="仿宋_GB2312"/>
          <w:bCs/>
          <w:color w:val="000000"/>
          <w:sz w:val="32"/>
        </w:rPr>
        <w:t>用于个人补助的支出</w:t>
      </w:r>
      <w:r>
        <w:rPr>
          <w:rFonts w:hint="default" w:ascii="仿宋_GB2312" w:hAnsi="仿宋_GB2312" w:eastAsia="仿宋_GB2312"/>
          <w:bCs/>
          <w:color w:val="000000"/>
          <w:sz w:val="32"/>
          <w:lang w:val="en-US"/>
        </w:rPr>
        <w:t>外，</w:t>
      </w:r>
      <w:r>
        <w:rPr>
          <w:rFonts w:hint="default" w:ascii="仿宋_GB2312" w:hAnsi="仿宋_GB2312" w:eastAsia="仿宋_GB2312"/>
          <w:b w:val="0"/>
          <w:snapToGrid/>
          <w:sz w:val="32"/>
          <w:highlight w:val="none"/>
          <w:shd w:val="clear" w:color="auto" w:fill="FFFFFF"/>
          <w:lang w:val="en-US" w:eastAsia="zh-CN"/>
        </w:rPr>
        <w:t>2016年项目支出依据</w:t>
      </w:r>
      <w:r>
        <w:rPr>
          <w:rFonts w:hint="eastAsia" w:ascii="仿宋_GB2312" w:hAnsi="仿宋_GB2312" w:eastAsia="仿宋_GB2312"/>
          <w:b w:val="0"/>
          <w:snapToGrid/>
          <w:sz w:val="32"/>
          <w:highlight w:val="none"/>
          <w:shd w:val="clear" w:color="auto" w:fill="FFFFFF"/>
          <w:lang w:val="en-US" w:eastAsia="zh-CN"/>
        </w:rPr>
        <w:t>全国信访信息系统建设及运行维护经费</w:t>
      </w:r>
      <w:r>
        <w:rPr>
          <w:rFonts w:hint="default" w:ascii="仿宋_GB2312" w:hAnsi="仿宋_GB2312" w:eastAsia="仿宋_GB2312"/>
          <w:b w:val="0"/>
          <w:snapToGrid/>
          <w:sz w:val="32"/>
          <w:highlight w:val="none"/>
          <w:shd w:val="clear" w:color="auto" w:fill="FFFFFF"/>
          <w:lang w:val="en-US"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240" w:lineRule="auto"/>
        <w:ind w:left="0" w:leftChars="0" w:right="0" w:rightChars="0" w:firstLine="643" w:firstLineChars="200"/>
        <w:jc w:val="left"/>
        <w:textAlignment w:val="auto"/>
        <w:outlineLvl w:val="9"/>
        <w:rPr>
          <w:rFonts w:hint="eastAsia" w:ascii="仿宋_GB2312" w:hAnsi="仿宋_GB2312" w:eastAsia="仿宋_GB2312"/>
          <w:b/>
          <w:bCs/>
          <w:i w:val="0"/>
          <w:snapToGrid/>
          <w:color w:val="000000"/>
          <w:sz w:val="32"/>
          <w:shd w:val="clear" w:color="auto" w:fill="FFFFFF"/>
          <w:lang w:val="en-US" w:eastAsia="zh-CN"/>
        </w:rPr>
      </w:pPr>
      <w:r>
        <w:rPr>
          <w:rFonts w:hint="default" w:ascii="仿宋_GB2312" w:hAnsi="仿宋_GB2312" w:eastAsia="仿宋_GB2312"/>
          <w:b/>
          <w:bCs/>
          <w:i w:val="0"/>
          <w:snapToGrid/>
          <w:color w:val="000000"/>
          <w:sz w:val="32"/>
          <w:shd w:val="clear" w:color="auto" w:fill="FFFFFF"/>
          <w:lang w:val="en-US" w:eastAsia="zh-CN"/>
        </w:rPr>
        <w:t>二、2016年部门预算“三公”经费情况</w:t>
      </w:r>
    </w:p>
    <w:p>
      <w:pPr>
        <w:keepNext w:val="0"/>
        <w:keepLines w:val="0"/>
        <w:pageBreakBefore w:val="0"/>
        <w:shd w:val="solid" w:color="FFFFFF" w:fill="auto"/>
        <w:kinsoku/>
        <w:wordWrap/>
        <w:overflowPunct/>
        <w:topLinePunct w:val="0"/>
        <w:autoSpaceDE/>
        <w:autoSpaceDN w:val="0"/>
        <w:bidi w:val="0"/>
        <w:snapToGrid/>
        <w:spacing w:before="0" w:beforeLines="0" w:after="0" w:afterLines="0" w:line="240" w:lineRule="auto"/>
        <w:ind w:left="0" w:leftChars="0" w:right="0" w:rightChars="0" w:firstLine="420"/>
        <w:jc w:val="left"/>
        <w:textAlignment w:val="auto"/>
        <w:rPr>
          <w:rFonts w:hint="eastAsia" w:ascii="仿宋_GB2312" w:hAnsi="仿宋" w:eastAsia="仿宋_GB2312" w:cs="仿宋"/>
          <w:spacing w:val="6"/>
          <w:kern w:val="0"/>
          <w:sz w:val="32"/>
          <w:szCs w:val="32"/>
          <w:lang w:val="en-US" w:eastAsia="zh-CN"/>
        </w:rPr>
      </w:pPr>
      <w:r>
        <w:rPr>
          <w:rFonts w:hint="default" w:ascii="仿宋_GB2312" w:hAnsi="仿宋_GB2312" w:eastAsia="仿宋_GB2312"/>
          <w:b w:val="0"/>
          <w:i w:val="0"/>
          <w:snapToGrid/>
          <w:color w:val="000000"/>
          <w:sz w:val="32"/>
          <w:shd w:val="clear" w:color="auto" w:fill="FFFFFF"/>
          <w:lang w:val="en-US" w:eastAsia="zh-CN"/>
        </w:rPr>
        <w:t xml:space="preserve"> </w:t>
      </w:r>
      <w:r>
        <w:rPr>
          <w:rFonts w:hint="eastAsia" w:ascii="仿宋_GB2312" w:hAnsi="仿宋_GB2312" w:eastAsia="仿宋_GB2312"/>
          <w:b w:val="0"/>
          <w:i w:val="0"/>
          <w:snapToGrid/>
          <w:color w:val="000000"/>
          <w:sz w:val="32"/>
          <w:shd w:val="clear" w:color="auto" w:fill="FFFFFF"/>
          <w:lang w:val="en-US" w:eastAsia="zh-CN"/>
        </w:rPr>
        <w:t xml:space="preserve"> </w:t>
      </w:r>
      <w:r>
        <w:rPr>
          <w:rFonts w:hint="eastAsia" w:ascii="仿宋_GB2312" w:hAnsi="仿宋" w:eastAsia="仿宋_GB2312" w:cs="仿宋"/>
          <w:spacing w:val="6"/>
          <w:kern w:val="0"/>
          <w:sz w:val="32"/>
          <w:szCs w:val="32"/>
          <w:lang w:val="en-US" w:eastAsia="zh-CN"/>
        </w:rPr>
        <w:t>2016年“三公”经费预算安排数46.74万元，2015年预算安排数是60.8万元，同比下降23%，减少14.06万元。</w:t>
      </w:r>
    </w:p>
    <w:p>
      <w:pPr>
        <w:autoSpaceDE w:val="0"/>
        <w:autoSpaceDN w:val="0"/>
        <w:adjustRightInd w:val="0"/>
        <w:snapToGrid w:val="0"/>
        <w:spacing w:line="600" w:lineRule="exact"/>
        <w:jc w:val="left"/>
        <w:rPr>
          <w:rFonts w:hint="eastAsia" w:ascii="仿宋_GB2312" w:hAnsi="仿宋" w:eastAsia="仿宋_GB2312" w:cs="仿宋"/>
          <w:spacing w:val="6"/>
          <w:kern w:val="0"/>
          <w:sz w:val="32"/>
          <w:szCs w:val="32"/>
          <w:lang w:val="en-US" w:eastAsia="zh-CN"/>
        </w:rPr>
      </w:pPr>
      <w:r>
        <w:rPr>
          <w:rFonts w:hint="eastAsia" w:ascii="仿宋_GB2312" w:hAnsi="仿宋" w:eastAsia="仿宋_GB2312" w:cs="仿宋"/>
          <w:spacing w:val="6"/>
          <w:kern w:val="0"/>
          <w:sz w:val="32"/>
          <w:szCs w:val="32"/>
          <w:lang w:val="en-US" w:eastAsia="zh-CN"/>
        </w:rPr>
        <w:t xml:space="preserve">   （一）2016年度自治区信访局财政拨款安排出国（境）费用支出零元。同比无变化。</w:t>
      </w:r>
    </w:p>
    <w:p>
      <w:pPr>
        <w:autoSpaceDE w:val="0"/>
        <w:autoSpaceDN w:val="0"/>
        <w:adjustRightInd w:val="0"/>
        <w:snapToGrid w:val="0"/>
        <w:spacing w:line="600" w:lineRule="exact"/>
        <w:jc w:val="left"/>
        <w:rPr>
          <w:rFonts w:hint="eastAsia" w:ascii="仿宋_GB2312" w:hAnsi="仿宋" w:eastAsia="仿宋_GB2312" w:cs="仿宋"/>
          <w:spacing w:val="6"/>
          <w:kern w:val="0"/>
          <w:sz w:val="32"/>
          <w:szCs w:val="32"/>
          <w:lang w:val="en-US" w:eastAsia="zh-CN"/>
        </w:rPr>
      </w:pPr>
      <w:r>
        <w:rPr>
          <w:rFonts w:hint="eastAsia" w:ascii="仿宋_GB2312" w:hAnsi="仿宋" w:eastAsia="仿宋_GB2312" w:cs="仿宋"/>
          <w:spacing w:val="6"/>
          <w:kern w:val="0"/>
          <w:sz w:val="32"/>
          <w:szCs w:val="32"/>
          <w:lang w:val="en-US" w:eastAsia="zh-CN"/>
        </w:rPr>
        <w:t xml:space="preserve">   （二）2016年度自治区信访局部门预算财政拨款安排车辆购置费用支出零元，同比无变化。公务用车运行维护费支出45.74万元，2016年预算安排数是45.74万元，同比下降23%，减少14.06万元。</w:t>
      </w:r>
    </w:p>
    <w:p>
      <w:pPr>
        <w:autoSpaceDE w:val="0"/>
        <w:autoSpaceDN w:val="0"/>
        <w:adjustRightInd w:val="0"/>
        <w:snapToGrid w:val="0"/>
        <w:spacing w:line="600" w:lineRule="exact"/>
        <w:jc w:val="left"/>
        <w:rPr>
          <w:rFonts w:hint="eastAsia" w:ascii="仿宋_GB2312" w:hAnsi="仿宋" w:eastAsia="仿宋_GB2312" w:cs="仿宋"/>
          <w:spacing w:val="6"/>
          <w:kern w:val="0"/>
          <w:sz w:val="32"/>
          <w:szCs w:val="32"/>
          <w:lang w:val="en-US" w:eastAsia="zh-CN"/>
        </w:rPr>
      </w:pPr>
      <w:r>
        <w:rPr>
          <w:rFonts w:hint="eastAsia" w:ascii="仿宋_GB2312" w:hAnsi="仿宋" w:eastAsia="仿宋_GB2312" w:cs="仿宋"/>
          <w:spacing w:val="6"/>
          <w:kern w:val="0"/>
          <w:sz w:val="32"/>
          <w:szCs w:val="32"/>
          <w:lang w:val="en-US" w:eastAsia="zh-CN"/>
        </w:rPr>
        <w:t xml:space="preserve">   （三）2016年度自治区信访局财政拨款安排公务接待费支出1万元，2015年预算安排数是1万元，同比无变化。</w:t>
      </w:r>
    </w:p>
    <w:p>
      <w:pPr>
        <w:autoSpaceDE w:val="0"/>
        <w:autoSpaceDN w:val="0"/>
        <w:adjustRightInd w:val="0"/>
        <w:snapToGrid w:val="0"/>
        <w:spacing w:line="600" w:lineRule="exact"/>
        <w:ind w:firstLine="638"/>
        <w:jc w:val="left"/>
        <w:rPr>
          <w:rFonts w:hint="eastAsia" w:ascii="仿宋_GB2312" w:eastAsia="仿宋_GB2312"/>
        </w:rPr>
      </w:pPr>
      <w:r>
        <w:rPr>
          <w:rFonts w:hint="eastAsia" w:ascii="仿宋_GB2312" w:hAnsi="仿宋" w:eastAsia="仿宋_GB2312" w:cs="仿宋"/>
          <w:spacing w:val="6"/>
          <w:kern w:val="0"/>
          <w:sz w:val="32"/>
          <w:szCs w:val="32"/>
          <w:lang w:val="en-US" w:eastAsia="zh-CN"/>
        </w:rPr>
        <w:t xml:space="preserve"> 2016年预算“三公经费”增长的主要原因：</w:t>
      </w:r>
      <w:r>
        <w:rPr>
          <w:rFonts w:hint="eastAsia" w:ascii="仿宋" w:hAnsi="仿宋" w:eastAsia="仿宋" w:cs="仿宋"/>
          <w:sz w:val="32"/>
          <w:szCs w:val="32"/>
          <w:lang w:val="en-US" w:eastAsia="zh-CN"/>
        </w:rPr>
        <w:t>信访局严格控制车辆运行成本，降低车辆维修费用</w:t>
      </w:r>
      <w:r>
        <w:rPr>
          <w:rFonts w:hint="eastAsia" w:ascii="仿宋_GB2312" w:hAnsi="仿宋" w:eastAsia="仿宋_GB2312" w:cs="仿宋"/>
          <w:spacing w:val="6"/>
          <w:kern w:val="0"/>
          <w:sz w:val="32"/>
          <w:szCs w:val="32"/>
          <w:lang w:val="en-US" w:eastAsia="zh-CN"/>
        </w:rPr>
        <w:t>。</w:t>
      </w:r>
      <w:r>
        <w:rPr>
          <w:rFonts w:ascii="仿宋_GB2312" w:eastAsia="仿宋_GB2312"/>
          <w:vanish/>
          <w:sz w:val="20"/>
        </w:rPr>
        <mc:AlternateContent>
          <mc:Choice Requires="wps">
            <w:drawing>
              <wp:anchor distT="0" distB="0" distL="114300" distR="114300" simplePos="0" relativeHeight="251658240" behindDoc="0" locked="0" layoutInCell="1" allowOverlap="1">
                <wp:simplePos x="0" y="0"/>
                <wp:positionH relativeFrom="column">
                  <wp:posOffset>-85725</wp:posOffset>
                </wp:positionH>
                <wp:positionV relativeFrom="paragraph">
                  <wp:posOffset>198120</wp:posOffset>
                </wp:positionV>
                <wp:extent cx="5529580" cy="0"/>
                <wp:effectExtent l="0" t="0" r="0" b="0"/>
                <wp:wrapNone/>
                <wp:docPr id="2" name="直线 2"/>
                <wp:cNvGraphicFramePr/>
                <a:graphic xmlns:a="http://schemas.openxmlformats.org/drawingml/2006/main">
                  <a:graphicData uri="http://schemas.microsoft.com/office/word/2010/wordprocessingShape">
                    <wps:wsp>
                      <wps:cNvCnPr/>
                      <wps:spPr>
                        <a:xfrm>
                          <a:off x="0" y="0"/>
                          <a:ext cx="552958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6.75pt;margin-top:15.6pt;height:0pt;width:435.4pt;z-index:251658240;mso-width-relative:page;mso-height-relative:page;" filled="f" stroked="t" coordsize="21600,21600" o:gfxdata="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qTfmM2AAAAAkBAAAPAAAAAAAAAAEAIAAAACIA&#10;AABkcnMvZG93bnJldi54bWxQSwECFAAUAAAACACHTuJAk7zYPtABAACOAwAADgAAAAAAAAABACAA&#10;AAAnAQAAZHJzL2Uyb0RvYy54bWxQSwUGAAAAAAYABgBZAQAAaQUAAAAA&#10;">
                <v:fill on="f" focussize="0,0"/>
                <v:stroke weight="2.25pt" color="#FF0000" joinstyle="round"/>
                <v:imagedata o:title=""/>
                <o:lock v:ext="edit" aspectratio="f"/>
              </v:line>
            </w:pict>
          </mc:Fallback>
        </mc:AlternateConten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Style w:val="6"/>
          <w:rFonts w:hint="eastAsia" w:ascii="黑体" w:hAnsi="黑体" w:eastAsia="黑体"/>
          <w:b/>
          <w:bCs/>
          <w:color w:val="auto"/>
          <w:sz w:val="32"/>
          <w:szCs w:val="24"/>
        </w:rPr>
      </w:pPr>
      <w:r>
        <w:rPr>
          <w:rStyle w:val="6"/>
          <w:rFonts w:hint="eastAsia" w:ascii="黑体" w:hAnsi="黑体" w:eastAsia="黑体"/>
          <w:b/>
          <w:bCs/>
          <w:color w:val="auto"/>
          <w:sz w:val="32"/>
          <w:szCs w:val="24"/>
        </w:rPr>
        <w:t>第四部分</w:t>
      </w:r>
      <w:r>
        <w:rPr>
          <w:rStyle w:val="6"/>
          <w:rFonts w:hint="eastAsia" w:ascii="黑体" w:hAnsi="黑体" w:eastAsia="黑体"/>
          <w:b/>
          <w:bCs/>
          <w:color w:val="auto"/>
          <w:sz w:val="32"/>
          <w:szCs w:val="24"/>
          <w:lang w:val="en-US"/>
        </w:rPr>
        <w:t xml:space="preserve">  </w:t>
      </w:r>
      <w:r>
        <w:rPr>
          <w:rStyle w:val="6"/>
          <w:rFonts w:hint="eastAsia" w:ascii="黑体" w:hAnsi="黑体" w:eastAsia="黑体"/>
          <w:b/>
          <w:bCs/>
          <w:color w:val="auto"/>
          <w:sz w:val="32"/>
          <w:szCs w:val="24"/>
        </w:rPr>
        <w:t xml:space="preserve">名词解释 </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center"/>
        <w:textAlignment w:val="auto"/>
        <w:rPr>
          <w:rStyle w:val="6"/>
          <w:rFonts w:hint="eastAsia" w:ascii="仿宋_GB2312" w:hAnsi="仿宋_GB2312" w:eastAsia="仿宋_GB2312"/>
          <w:b w:val="0"/>
          <w:bCs w:val="0"/>
          <w:color w:val="auto"/>
          <w:sz w:val="32"/>
          <w:szCs w:val="24"/>
        </w:rPr>
      </w:pP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firstLine="640" w:firstLineChars="200"/>
        <w:jc w:val="left"/>
        <w:textAlignment w:val="auto"/>
        <w:rPr>
          <w:rFonts w:hint="eastAsia" w:ascii="仿宋_GB2312" w:hAnsi="仿宋_GB2312" w:eastAsia="仿宋_GB2312"/>
          <w:b w:val="0"/>
          <w:bCs w:val="0"/>
          <w:color w:val="auto"/>
          <w:sz w:val="32"/>
          <w:szCs w:val="32"/>
        </w:rPr>
      </w:pPr>
      <w:r>
        <w:rPr>
          <w:rFonts w:hint="eastAsia" w:ascii="仿宋_GB2312" w:hAnsi="仿宋_GB2312" w:eastAsia="仿宋_GB2312"/>
          <w:b w:val="0"/>
          <w:bCs w:val="0"/>
          <w:color w:val="auto"/>
          <w:sz w:val="32"/>
          <w:szCs w:val="32"/>
        </w:rPr>
        <w:t>一</w:t>
      </w:r>
      <w:r>
        <w:rPr>
          <w:rFonts w:hint="eastAsia" w:ascii="仿宋_GB2312" w:hAnsi="仿宋_GB2312" w:eastAsia="仿宋_GB2312"/>
          <w:b w:val="0"/>
          <w:bCs w:val="0"/>
          <w:color w:val="auto"/>
          <w:sz w:val="32"/>
          <w:szCs w:val="32"/>
          <w:lang w:val="en-US"/>
        </w:rPr>
        <w:t>、一般公共预算</w:t>
      </w:r>
      <w:r>
        <w:rPr>
          <w:rFonts w:hint="eastAsia" w:ascii="仿宋_GB2312" w:hAnsi="仿宋_GB2312" w:eastAsia="仿宋_GB2312"/>
          <w:b w:val="0"/>
          <w:bCs w:val="0"/>
          <w:color w:val="auto"/>
          <w:sz w:val="32"/>
          <w:szCs w:val="32"/>
        </w:rPr>
        <w:t xml:space="preserve">拨款收入：指中央财政当年拨付的资金。 </w:t>
      </w:r>
    </w:p>
    <w:p>
      <w:pPr>
        <w:keepNext w:val="0"/>
        <w:keepLines w:val="0"/>
        <w:pageBreakBefore w:val="0"/>
        <w:widowControl/>
        <w:kinsoku/>
        <w:wordWrap/>
        <w:overflowPunct/>
        <w:topLinePunct w:val="0"/>
        <w:autoSpaceDE/>
        <w:bidi w:val="0"/>
        <w:adjustRightInd/>
        <w:snapToGrid/>
        <w:spacing w:before="0" w:beforeLines="0" w:after="0" w:afterLines="0" w:line="240" w:lineRule="auto"/>
        <w:ind w:left="0" w:leftChars="0" w:right="0" w:rightChars="0" w:firstLine="640" w:firstLineChars="200"/>
        <w:jc w:val="left"/>
        <w:textAlignment w:val="auto"/>
        <w:rPr>
          <w:rFonts w:hint="eastAsia" w:ascii="仿宋_GB2312" w:hAnsi="仿宋_GB2312" w:eastAsia="仿宋_GB2312"/>
          <w:b w:val="0"/>
          <w:bCs w:val="0"/>
          <w:color w:val="auto"/>
          <w:sz w:val="32"/>
          <w:szCs w:val="32"/>
        </w:rPr>
      </w:pPr>
      <w:r>
        <w:rPr>
          <w:rFonts w:hint="eastAsia" w:ascii="仿宋_GB2312" w:hAnsi="仿宋_GB2312" w:eastAsia="仿宋_GB2312"/>
          <w:b w:val="0"/>
          <w:bCs w:val="0"/>
          <w:color w:val="auto"/>
          <w:sz w:val="32"/>
          <w:szCs w:val="32"/>
          <w:lang w:val="en-US"/>
        </w:rPr>
        <w:t>二、</w:t>
      </w:r>
      <w:r>
        <w:rPr>
          <w:rFonts w:hint="eastAsia" w:ascii="仿宋_GB2312" w:hAnsi="仿宋_GB2312" w:eastAsia="仿宋_GB2312"/>
          <w:b w:val="0"/>
          <w:bCs w:val="0"/>
          <w:color w:val="auto"/>
          <w:sz w:val="32"/>
          <w:szCs w:val="32"/>
        </w:rPr>
        <w:t xml:space="preserve">上年结转余：指以前年度尚未完成、结转到本年仍按原规定用途继续使用的资金。 </w:t>
      </w:r>
    </w:p>
    <w:p>
      <w:pPr>
        <w:keepNext w:val="0"/>
        <w:keepLines w:val="0"/>
        <w:pageBreakBefore w:val="0"/>
        <w:widowControl/>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szCs w:val="32"/>
        </w:rPr>
      </w:pPr>
      <w:r>
        <w:rPr>
          <w:rFonts w:hint="eastAsia" w:ascii="仿宋_GB2312" w:hAnsi="仿宋_GB2312" w:eastAsia="仿宋_GB2312"/>
          <w:b w:val="0"/>
          <w:bCs w:val="0"/>
          <w:color w:val="auto"/>
          <w:sz w:val="32"/>
          <w:szCs w:val="32"/>
          <w:lang w:val="en-US"/>
        </w:rPr>
        <w:t>三、</w:t>
      </w:r>
      <w:r>
        <w:rPr>
          <w:rFonts w:hint="eastAsia" w:ascii="仿宋_GB2312" w:hAnsi="仿宋_GB2312" w:eastAsia="仿宋_GB2312"/>
          <w:b w:val="0"/>
          <w:bCs w:val="0"/>
          <w:color w:val="auto"/>
          <w:sz w:val="32"/>
          <w:szCs w:val="32"/>
        </w:rPr>
        <w:t>公共安全（类）检察（款）</w:t>
      </w:r>
      <w:r>
        <w:rPr>
          <w:rFonts w:hint="eastAsia" w:ascii="仿宋_GB2312" w:hAnsi="仿宋_GB2312" w:eastAsia="仿宋_GB2312"/>
          <w:b w:val="0"/>
          <w:bCs w:val="0"/>
          <w:color w:val="auto"/>
          <w:sz w:val="32"/>
          <w:szCs w:val="32"/>
          <w:lang w:val="en-US"/>
        </w:rPr>
        <w:t>：</w:t>
      </w:r>
      <w:r>
        <w:rPr>
          <w:rFonts w:hint="eastAsia" w:ascii="仿宋_GB2312" w:hAnsi="仿宋_GB2312" w:eastAsia="仿宋_GB2312"/>
          <w:b w:val="0"/>
          <w:bCs w:val="0"/>
          <w:color w:val="auto"/>
          <w:sz w:val="32"/>
          <w:szCs w:val="32"/>
        </w:rPr>
        <w:t>指</w:t>
      </w:r>
      <w:r>
        <w:rPr>
          <w:rFonts w:hint="eastAsia" w:ascii="仿宋_GB2312" w:hAnsi="仿宋_GB2312" w:eastAsia="仿宋_GB2312"/>
          <w:b w:val="0"/>
          <w:bCs w:val="0"/>
          <w:color w:val="auto"/>
          <w:sz w:val="32"/>
          <w:szCs w:val="32"/>
          <w:lang w:val="en-US"/>
        </w:rPr>
        <w:t>自治区</w:t>
      </w:r>
      <w:r>
        <w:rPr>
          <w:rFonts w:hint="eastAsia" w:ascii="仿宋_GB2312" w:hAnsi="仿宋_GB2312" w:eastAsia="仿宋_GB2312"/>
          <w:b w:val="0"/>
          <w:bCs w:val="0"/>
          <w:color w:val="auto"/>
          <w:sz w:val="32"/>
          <w:szCs w:val="32"/>
          <w:lang w:eastAsia="zh-CN"/>
        </w:rPr>
        <w:t>信访局</w:t>
      </w:r>
      <w:r>
        <w:rPr>
          <w:rFonts w:hint="eastAsia" w:ascii="仿宋_GB2312" w:hAnsi="仿宋_GB2312" w:eastAsia="仿宋_GB2312"/>
          <w:b w:val="0"/>
          <w:bCs w:val="0"/>
          <w:color w:val="auto"/>
          <w:sz w:val="32"/>
          <w:szCs w:val="32"/>
          <w:lang w:val="en-US"/>
        </w:rPr>
        <w:t>及所属单位</w:t>
      </w:r>
      <w:r>
        <w:rPr>
          <w:rFonts w:hint="eastAsia" w:ascii="仿宋_GB2312" w:hAnsi="仿宋_GB2312" w:eastAsia="仿宋_GB2312"/>
          <w:b w:val="0"/>
          <w:bCs w:val="0"/>
          <w:color w:val="auto"/>
          <w:sz w:val="32"/>
          <w:szCs w:val="32"/>
        </w:rPr>
        <w:t xml:space="preserve">用于保障机构正常运行、开展检察业务工作的支出。 </w:t>
      </w:r>
    </w:p>
    <w:p>
      <w:pPr>
        <w:keepNext w:val="0"/>
        <w:keepLines w:val="0"/>
        <w:pageBreakBefore w:val="0"/>
        <w:widowControl/>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szCs w:val="32"/>
        </w:rPr>
      </w:pPr>
      <w:r>
        <w:rPr>
          <w:rFonts w:hint="eastAsia" w:ascii="仿宋_GB2312" w:hAnsi="仿宋_GB2312" w:eastAsia="仿宋_GB2312"/>
          <w:b w:val="0"/>
          <w:bCs w:val="0"/>
          <w:color w:val="auto"/>
          <w:sz w:val="32"/>
          <w:szCs w:val="32"/>
          <w:lang w:val="en-US"/>
        </w:rPr>
        <w:t>四、社会保障和就业支出（类）行政行政事业单位离退休（款）未归口管理的行政单位离退休（项）：指自治区</w:t>
      </w:r>
      <w:r>
        <w:rPr>
          <w:rFonts w:hint="eastAsia" w:ascii="仿宋_GB2312" w:hAnsi="仿宋_GB2312" w:eastAsia="仿宋_GB2312"/>
          <w:b w:val="0"/>
          <w:bCs w:val="0"/>
          <w:color w:val="auto"/>
          <w:sz w:val="32"/>
          <w:szCs w:val="32"/>
          <w:lang w:val="en-US" w:eastAsia="zh-CN"/>
        </w:rPr>
        <w:t>信访局</w:t>
      </w:r>
      <w:r>
        <w:rPr>
          <w:rFonts w:hint="eastAsia" w:ascii="仿宋_GB2312" w:hAnsi="仿宋_GB2312" w:eastAsia="仿宋_GB2312"/>
          <w:b w:val="0"/>
          <w:bCs w:val="0"/>
          <w:color w:val="auto"/>
          <w:sz w:val="32"/>
          <w:szCs w:val="32"/>
          <w:lang w:val="en-US"/>
        </w:rPr>
        <w:t>及所属单位统一管理的离退休人员的经费。</w:t>
      </w:r>
    </w:p>
    <w:p>
      <w:pPr>
        <w:keepNext w:val="0"/>
        <w:keepLines w:val="0"/>
        <w:pageBreakBefore w:val="0"/>
        <w:widowControl/>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szCs w:val="32"/>
        </w:rPr>
      </w:pPr>
      <w:r>
        <w:rPr>
          <w:rFonts w:hint="eastAsia" w:ascii="仿宋_GB2312" w:hAnsi="仿宋_GB2312" w:eastAsia="仿宋_GB2312"/>
          <w:b w:val="0"/>
          <w:bCs w:val="0"/>
          <w:color w:val="auto"/>
          <w:sz w:val="32"/>
          <w:szCs w:val="32"/>
          <w:lang w:val="en-US"/>
        </w:rPr>
        <w:t>五、</w:t>
      </w:r>
      <w:r>
        <w:rPr>
          <w:rFonts w:hint="eastAsia" w:ascii="仿宋_GB2312" w:hAnsi="仿宋_GB2312" w:eastAsia="仿宋_GB2312"/>
          <w:b w:val="0"/>
          <w:bCs w:val="0"/>
          <w:color w:val="auto"/>
          <w:sz w:val="32"/>
          <w:szCs w:val="32"/>
        </w:rPr>
        <w:t>基本支出：指为保障机构正常运转、完成日常工作任务而发生的人员支出和公用支出。</w:t>
      </w:r>
    </w:p>
    <w:p>
      <w:pPr>
        <w:keepNext w:val="0"/>
        <w:keepLines w:val="0"/>
        <w:pageBreakBefore w:val="0"/>
        <w:widowControl/>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rPr>
        <w:t>(一)</w:t>
      </w:r>
      <w:r>
        <w:rPr>
          <w:rFonts w:hint="eastAsia" w:ascii="仿宋_GB2312" w:hAnsi="仿宋_GB2312" w:eastAsia="仿宋_GB2312"/>
          <w:b w:val="0"/>
          <w:bCs w:val="0"/>
          <w:color w:val="auto"/>
          <w:sz w:val="32"/>
          <w:lang w:val="en-US"/>
        </w:rPr>
        <w:t>人员</w:t>
      </w:r>
      <w:r>
        <w:rPr>
          <w:rFonts w:hint="eastAsia" w:ascii="仿宋_GB2312" w:hAnsi="仿宋_GB2312" w:eastAsia="仿宋_GB2312"/>
          <w:b w:val="0"/>
          <w:bCs w:val="0"/>
          <w:color w:val="auto"/>
          <w:sz w:val="32"/>
        </w:rPr>
        <w:t>经费：指维持机构正常运转且可归集到个人的各项支出。</w:t>
      </w:r>
    </w:p>
    <w:p>
      <w:pPr>
        <w:keepNext w:val="0"/>
        <w:keepLines w:val="0"/>
        <w:pageBreakBefore w:val="0"/>
        <w:widowControl/>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rPr>
        <w:t>1</w:t>
      </w:r>
      <w:r>
        <w:rPr>
          <w:rFonts w:hint="eastAsia" w:ascii="仿宋_GB2312" w:hAnsi="仿宋_GB2312" w:eastAsia="仿宋_GB2312"/>
          <w:b w:val="0"/>
          <w:bCs w:val="0"/>
          <w:color w:val="auto"/>
          <w:sz w:val="32"/>
          <w:lang w:val="en-US"/>
        </w:rPr>
        <w:t>、</w:t>
      </w:r>
      <w:r>
        <w:rPr>
          <w:rFonts w:hint="eastAsia" w:ascii="仿宋_GB2312" w:hAnsi="仿宋_GB2312" w:eastAsia="仿宋_GB2312"/>
          <w:b w:val="0"/>
          <w:bCs w:val="0"/>
          <w:color w:val="auto"/>
          <w:sz w:val="32"/>
        </w:rPr>
        <w:t>基本工资：反映按规定发放的基本工资，包括公务员的职务工资、级别工资；机关工人的岗位工资、技术等级工资；事业单位工作人员的岗位工资、薪级工资。</w:t>
      </w:r>
    </w:p>
    <w:p>
      <w:pPr>
        <w:keepNext w:val="0"/>
        <w:keepLines w:val="0"/>
        <w:pageBreakBefore w:val="0"/>
        <w:widowControl/>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rPr>
        <w:t>2</w:t>
      </w:r>
      <w:r>
        <w:rPr>
          <w:rFonts w:hint="eastAsia" w:ascii="仿宋_GB2312" w:hAnsi="仿宋_GB2312" w:eastAsia="仿宋_GB2312"/>
          <w:b w:val="0"/>
          <w:bCs w:val="0"/>
          <w:color w:val="auto"/>
          <w:sz w:val="32"/>
          <w:lang w:val="en-US"/>
        </w:rPr>
        <w:t>、</w:t>
      </w:r>
      <w:r>
        <w:rPr>
          <w:rFonts w:hint="eastAsia" w:ascii="仿宋_GB2312" w:hAnsi="仿宋_GB2312" w:eastAsia="仿宋_GB2312"/>
          <w:b w:val="0"/>
          <w:bCs w:val="0"/>
          <w:color w:val="auto"/>
          <w:sz w:val="32"/>
        </w:rPr>
        <w:t>津贴补贴：反映经国家批准建立的机关事业单位艰苦边远地区津贴、机关工作人员地区附加津贴、机关工作人员岗位津贴、事业单位工作人员特殊岗位津贴补贴。</w:t>
      </w:r>
    </w:p>
    <w:p>
      <w:pPr>
        <w:keepNext w:val="0"/>
        <w:keepLines w:val="0"/>
        <w:pageBreakBefore w:val="0"/>
        <w:widowControl/>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rPr>
        <w:t>3</w:t>
      </w:r>
      <w:r>
        <w:rPr>
          <w:rFonts w:hint="eastAsia" w:ascii="仿宋_GB2312" w:hAnsi="仿宋_GB2312" w:eastAsia="仿宋_GB2312"/>
          <w:b w:val="0"/>
          <w:bCs w:val="0"/>
          <w:color w:val="auto"/>
          <w:sz w:val="32"/>
          <w:lang w:val="en-US"/>
        </w:rPr>
        <w:t>、</w:t>
      </w:r>
      <w:r>
        <w:rPr>
          <w:rFonts w:hint="eastAsia" w:ascii="仿宋_GB2312" w:hAnsi="仿宋_GB2312" w:eastAsia="仿宋_GB2312"/>
          <w:b w:val="0"/>
          <w:bCs w:val="0"/>
          <w:color w:val="auto"/>
          <w:sz w:val="32"/>
        </w:rPr>
        <w:t>奖金：反映机关工作人员年终一次性奖金。</w:t>
      </w:r>
    </w:p>
    <w:p>
      <w:pPr>
        <w:keepNext w:val="0"/>
        <w:keepLines w:val="0"/>
        <w:pageBreakBefore w:val="0"/>
        <w:widowControl/>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rPr>
        <w:t>4</w:t>
      </w:r>
      <w:r>
        <w:rPr>
          <w:rFonts w:hint="eastAsia" w:ascii="仿宋_GB2312" w:hAnsi="仿宋_GB2312" w:eastAsia="仿宋_GB2312"/>
          <w:b w:val="0"/>
          <w:bCs w:val="0"/>
          <w:color w:val="auto"/>
          <w:sz w:val="32"/>
          <w:lang w:val="en-US"/>
        </w:rPr>
        <w:t>、</w:t>
      </w:r>
      <w:r>
        <w:rPr>
          <w:rFonts w:hint="eastAsia" w:ascii="仿宋_GB2312" w:hAnsi="仿宋_GB2312" w:eastAsia="仿宋_GB2312"/>
          <w:b w:val="0"/>
          <w:bCs w:val="0"/>
          <w:color w:val="auto"/>
          <w:sz w:val="32"/>
        </w:rPr>
        <w:t>社会保障缴费：反映单位为职工缴纳的基本养老、基本医疗、失业、工伤、生育等社会保险费，残疾人就业保证金。</w:t>
      </w:r>
    </w:p>
    <w:p>
      <w:pPr>
        <w:keepNext w:val="0"/>
        <w:keepLines w:val="0"/>
        <w:pageBreakBefore w:val="0"/>
        <w:widowControl/>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rPr>
        <w:t>5</w:t>
      </w:r>
      <w:r>
        <w:rPr>
          <w:rFonts w:hint="eastAsia" w:ascii="仿宋_GB2312" w:hAnsi="仿宋_GB2312" w:eastAsia="仿宋_GB2312"/>
          <w:b w:val="0"/>
          <w:bCs w:val="0"/>
          <w:color w:val="auto"/>
          <w:sz w:val="32"/>
          <w:lang w:val="en-US"/>
        </w:rPr>
        <w:t>、</w:t>
      </w:r>
      <w:r>
        <w:rPr>
          <w:rFonts w:hint="eastAsia" w:ascii="仿宋_GB2312" w:hAnsi="仿宋_GB2312" w:eastAsia="仿宋_GB2312"/>
          <w:b w:val="0"/>
          <w:bCs w:val="0"/>
          <w:color w:val="auto"/>
          <w:sz w:val="32"/>
        </w:rPr>
        <w:t>绩效工资：反映事业单位工作人员的绩效工资。</w:t>
      </w:r>
    </w:p>
    <w:p>
      <w:pPr>
        <w:keepNext w:val="0"/>
        <w:keepLines w:val="0"/>
        <w:pageBreakBefore w:val="0"/>
        <w:widowControl/>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lang w:val="en-US"/>
        </w:rPr>
        <w:t>6、</w:t>
      </w:r>
      <w:r>
        <w:rPr>
          <w:rFonts w:hint="eastAsia" w:ascii="仿宋_GB2312" w:hAnsi="仿宋_GB2312" w:eastAsia="仿宋_GB2312"/>
          <w:b w:val="0"/>
          <w:bCs w:val="0"/>
          <w:color w:val="auto"/>
          <w:sz w:val="32"/>
        </w:rPr>
        <w:t>其他工资福利支出：反映上述项目未包括的人员支出，如各种加班工资、病假两个月以上期间的人员工资、编制外长期聘用人员等。</w:t>
      </w:r>
    </w:p>
    <w:p>
      <w:pPr>
        <w:keepNext w:val="0"/>
        <w:keepLines w:val="0"/>
        <w:pageBreakBefore w:val="0"/>
        <w:widowControl/>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lang w:val="en-US"/>
        </w:rPr>
        <w:t>7、</w:t>
      </w:r>
      <w:r>
        <w:rPr>
          <w:rFonts w:hint="eastAsia" w:ascii="仿宋_GB2312" w:hAnsi="仿宋_GB2312" w:eastAsia="仿宋_GB2312"/>
          <w:b w:val="0"/>
          <w:bCs w:val="0"/>
          <w:color w:val="auto"/>
          <w:sz w:val="32"/>
        </w:rPr>
        <w:t>离休费：反映离休人员的离休费、护理费和其他补贴。</w:t>
      </w:r>
    </w:p>
    <w:p>
      <w:pPr>
        <w:keepNext w:val="0"/>
        <w:keepLines w:val="0"/>
        <w:pageBreakBefore w:val="0"/>
        <w:widowControl/>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lang w:val="en-US"/>
        </w:rPr>
        <w:t>8、</w:t>
      </w:r>
      <w:r>
        <w:rPr>
          <w:rFonts w:hint="eastAsia" w:ascii="仿宋_GB2312" w:hAnsi="仿宋_GB2312" w:eastAsia="仿宋_GB2312"/>
          <w:b w:val="0"/>
          <w:bCs w:val="0"/>
          <w:color w:val="auto"/>
          <w:sz w:val="32"/>
        </w:rPr>
        <w:t>退休费：反映退休人员的退休费和其他补贴。</w:t>
      </w:r>
    </w:p>
    <w:p>
      <w:pPr>
        <w:keepNext w:val="0"/>
        <w:keepLines w:val="0"/>
        <w:pageBreakBefore w:val="0"/>
        <w:widowControl/>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lang w:val="en-US"/>
        </w:rPr>
        <w:t>9、</w:t>
      </w:r>
      <w:r>
        <w:rPr>
          <w:rFonts w:hint="eastAsia" w:ascii="仿宋_GB2312" w:hAnsi="仿宋_GB2312" w:eastAsia="仿宋_GB2312"/>
          <w:b w:val="0"/>
          <w:bCs w:val="0"/>
          <w:color w:val="auto"/>
          <w:sz w:val="32"/>
        </w:rPr>
        <w:t xml:space="preserve">医疗费：反映单位在职职工、离退休人员的医疗费，优抚对象医疗补助。     </w:t>
      </w:r>
    </w:p>
    <w:p>
      <w:pPr>
        <w:keepNext w:val="0"/>
        <w:keepLines w:val="0"/>
        <w:pageBreakBefore w:val="0"/>
        <w:widowControl/>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rPr>
        <w:t>1</w:t>
      </w:r>
      <w:r>
        <w:rPr>
          <w:rFonts w:hint="eastAsia" w:ascii="仿宋_GB2312" w:hAnsi="仿宋_GB2312" w:eastAsia="仿宋_GB2312"/>
          <w:b w:val="0"/>
          <w:bCs w:val="0"/>
          <w:color w:val="auto"/>
          <w:sz w:val="32"/>
          <w:lang w:val="en-US"/>
        </w:rPr>
        <w:t>0、</w:t>
      </w:r>
      <w:r>
        <w:rPr>
          <w:rFonts w:hint="eastAsia" w:ascii="仿宋_GB2312" w:hAnsi="仿宋_GB2312" w:eastAsia="仿宋_GB2312"/>
          <w:b w:val="0"/>
          <w:bCs w:val="0"/>
          <w:color w:val="auto"/>
          <w:sz w:val="32"/>
        </w:rPr>
        <w:t xml:space="preserve">住房公积金：反映按规定的基本工资和津贴补贴以及规定比例为职工缴纳的住房公积金。     </w:t>
      </w:r>
    </w:p>
    <w:p>
      <w:pPr>
        <w:keepNext w:val="0"/>
        <w:keepLines w:val="0"/>
        <w:pageBreakBefore w:val="0"/>
        <w:widowControl/>
        <w:numPr>
          <w:ilvl w:val="0"/>
          <w:numId w:val="0"/>
        </w:numPr>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lang w:val="en-US"/>
        </w:rPr>
        <w:t>11、</w:t>
      </w:r>
      <w:r>
        <w:rPr>
          <w:rFonts w:hint="eastAsia" w:ascii="仿宋_GB2312" w:hAnsi="仿宋_GB2312" w:eastAsia="仿宋_GB2312"/>
          <w:b w:val="0"/>
          <w:bCs w:val="0"/>
          <w:color w:val="auto"/>
          <w:sz w:val="32"/>
        </w:rPr>
        <w:t>其他对个人和家庭的补助支出：反映未包括在上述科目的对个人和家庭的补助支出，如职工探亲旅费、退</w:t>
      </w:r>
      <w:r>
        <w:rPr>
          <w:rFonts w:hint="eastAsia" w:ascii="仿宋_GB2312" w:hAnsi="仿宋_GB2312" w:eastAsia="仿宋_GB2312"/>
          <w:b w:val="0"/>
          <w:bCs w:val="0"/>
          <w:color w:val="auto"/>
          <w:sz w:val="32"/>
          <w:lang w:val="en-US"/>
        </w:rPr>
        <w:t>休</w:t>
      </w:r>
      <w:r>
        <w:rPr>
          <w:rFonts w:hint="eastAsia" w:ascii="仿宋_GB2312" w:hAnsi="仿宋_GB2312" w:eastAsia="仿宋_GB2312"/>
          <w:b w:val="0"/>
          <w:bCs w:val="0"/>
          <w:color w:val="auto"/>
          <w:sz w:val="32"/>
        </w:rPr>
        <w:t>人员</w:t>
      </w:r>
      <w:r>
        <w:rPr>
          <w:rFonts w:hint="eastAsia" w:ascii="仿宋_GB2312" w:hAnsi="仿宋_GB2312" w:eastAsia="仿宋_GB2312"/>
          <w:b w:val="0"/>
          <w:bCs w:val="0"/>
          <w:color w:val="auto"/>
          <w:sz w:val="32"/>
          <w:lang w:val="en-US"/>
        </w:rPr>
        <w:t>计划生育奖励</w:t>
      </w:r>
      <w:r>
        <w:rPr>
          <w:rFonts w:hint="eastAsia" w:ascii="仿宋_GB2312" w:hAnsi="仿宋_GB2312" w:eastAsia="仿宋_GB2312"/>
          <w:b w:val="0"/>
          <w:bCs w:val="0"/>
          <w:color w:val="auto"/>
          <w:sz w:val="32"/>
        </w:rPr>
        <w:t>费等。</w:t>
      </w:r>
    </w:p>
    <w:p>
      <w:pPr>
        <w:keepNext w:val="0"/>
        <w:keepLines w:val="0"/>
        <w:pageBreakBefore w:val="0"/>
        <w:widowControl/>
        <w:numPr>
          <w:ilvl w:val="0"/>
          <w:numId w:val="0"/>
        </w:numPr>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rPr>
        <w:t xml:space="preserve">(二)日常公用经费：指维持机构正常运转但不能归集到个人的各项支出。     </w:t>
      </w:r>
    </w:p>
    <w:p>
      <w:pPr>
        <w:keepNext w:val="0"/>
        <w:keepLines w:val="0"/>
        <w:pageBreakBefore w:val="0"/>
        <w:widowControl/>
        <w:numPr>
          <w:ilvl w:val="0"/>
          <w:numId w:val="0"/>
        </w:numPr>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rPr>
        <w:t>1</w:t>
      </w:r>
      <w:r>
        <w:rPr>
          <w:rFonts w:hint="eastAsia" w:ascii="仿宋_GB2312" w:hAnsi="仿宋_GB2312" w:eastAsia="仿宋_GB2312"/>
          <w:b w:val="0"/>
          <w:bCs w:val="0"/>
          <w:color w:val="auto"/>
          <w:sz w:val="32"/>
          <w:lang w:val="en-US"/>
        </w:rPr>
        <w:t>、</w:t>
      </w:r>
      <w:r>
        <w:rPr>
          <w:rFonts w:hint="eastAsia" w:ascii="仿宋_GB2312" w:hAnsi="仿宋_GB2312" w:eastAsia="仿宋_GB2312"/>
          <w:b w:val="0"/>
          <w:bCs w:val="0"/>
          <w:color w:val="auto"/>
          <w:sz w:val="32"/>
        </w:rPr>
        <w:t xml:space="preserve">办公费：反映购买按财务会计制度规定不符合固定资产确认标准的日常办公用品、书报杂志等支出。     </w:t>
      </w:r>
    </w:p>
    <w:p>
      <w:pPr>
        <w:keepNext w:val="0"/>
        <w:keepLines w:val="0"/>
        <w:pageBreakBefore w:val="0"/>
        <w:widowControl/>
        <w:numPr>
          <w:ilvl w:val="0"/>
          <w:numId w:val="0"/>
        </w:numPr>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rPr>
        <w:t>2</w:t>
      </w:r>
      <w:r>
        <w:rPr>
          <w:rFonts w:hint="eastAsia" w:ascii="仿宋_GB2312" w:hAnsi="仿宋_GB2312" w:eastAsia="仿宋_GB2312"/>
          <w:b w:val="0"/>
          <w:bCs w:val="0"/>
          <w:color w:val="auto"/>
          <w:sz w:val="32"/>
          <w:lang w:val="en-US"/>
        </w:rPr>
        <w:t>、</w:t>
      </w:r>
      <w:r>
        <w:rPr>
          <w:rFonts w:hint="eastAsia" w:ascii="仿宋_GB2312" w:hAnsi="仿宋_GB2312" w:eastAsia="仿宋_GB2312"/>
          <w:b w:val="0"/>
          <w:bCs w:val="0"/>
          <w:color w:val="auto"/>
          <w:sz w:val="32"/>
        </w:rPr>
        <w:t xml:space="preserve">印刷费：反映印刷费支出。     </w:t>
      </w:r>
    </w:p>
    <w:p>
      <w:pPr>
        <w:keepNext w:val="0"/>
        <w:keepLines w:val="0"/>
        <w:pageBreakBefore w:val="0"/>
        <w:widowControl/>
        <w:numPr>
          <w:ilvl w:val="0"/>
          <w:numId w:val="0"/>
        </w:numPr>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rPr>
        <w:t>3</w:t>
      </w:r>
      <w:r>
        <w:rPr>
          <w:rFonts w:hint="eastAsia" w:ascii="仿宋_GB2312" w:hAnsi="仿宋_GB2312" w:eastAsia="仿宋_GB2312"/>
          <w:b w:val="0"/>
          <w:bCs w:val="0"/>
          <w:color w:val="auto"/>
          <w:sz w:val="32"/>
          <w:lang w:val="en-US"/>
        </w:rPr>
        <w:t>、</w:t>
      </w:r>
      <w:r>
        <w:rPr>
          <w:rFonts w:hint="eastAsia" w:ascii="仿宋_GB2312" w:hAnsi="仿宋_GB2312" w:eastAsia="仿宋_GB2312"/>
          <w:b w:val="0"/>
          <w:bCs w:val="0"/>
          <w:color w:val="auto"/>
          <w:sz w:val="32"/>
        </w:rPr>
        <w:t xml:space="preserve">水费：反映水费、污水处理费等支出。     </w:t>
      </w:r>
    </w:p>
    <w:p>
      <w:pPr>
        <w:keepNext w:val="0"/>
        <w:keepLines w:val="0"/>
        <w:pageBreakBefore w:val="0"/>
        <w:widowControl/>
        <w:numPr>
          <w:ilvl w:val="0"/>
          <w:numId w:val="0"/>
        </w:numPr>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lang w:val="en-US"/>
        </w:rPr>
        <w:t>4、</w:t>
      </w:r>
      <w:r>
        <w:rPr>
          <w:rFonts w:hint="eastAsia" w:ascii="仿宋_GB2312" w:hAnsi="仿宋_GB2312" w:eastAsia="仿宋_GB2312"/>
          <w:b w:val="0"/>
          <w:bCs w:val="0"/>
          <w:color w:val="auto"/>
          <w:sz w:val="32"/>
        </w:rPr>
        <w:t xml:space="preserve">电费：反映电费支出。     </w:t>
      </w:r>
    </w:p>
    <w:p>
      <w:pPr>
        <w:keepNext w:val="0"/>
        <w:keepLines w:val="0"/>
        <w:pageBreakBefore w:val="0"/>
        <w:widowControl/>
        <w:numPr>
          <w:ilvl w:val="0"/>
          <w:numId w:val="0"/>
        </w:numPr>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lang w:val="en-US"/>
        </w:rPr>
        <w:t>5、</w:t>
      </w:r>
      <w:r>
        <w:rPr>
          <w:rFonts w:hint="eastAsia" w:ascii="仿宋_GB2312" w:hAnsi="仿宋_GB2312" w:eastAsia="仿宋_GB2312"/>
          <w:b w:val="0"/>
          <w:bCs w:val="0"/>
          <w:color w:val="auto"/>
          <w:sz w:val="32"/>
        </w:rPr>
        <w:t>邮电费：反映</w:t>
      </w:r>
      <w:r>
        <w:rPr>
          <w:rFonts w:hint="eastAsia" w:ascii="仿宋_GB2312" w:hAnsi="仿宋_GB2312" w:eastAsia="仿宋_GB2312"/>
          <w:b w:val="0"/>
          <w:bCs w:val="0"/>
          <w:color w:val="auto"/>
          <w:sz w:val="32"/>
          <w:lang w:val="en-US"/>
        </w:rPr>
        <w:t>单位</w:t>
      </w:r>
      <w:r>
        <w:rPr>
          <w:rFonts w:hint="eastAsia" w:ascii="仿宋_GB2312" w:hAnsi="仿宋_GB2312" w:eastAsia="仿宋_GB2312"/>
          <w:b w:val="0"/>
          <w:bCs w:val="0"/>
          <w:color w:val="auto"/>
          <w:sz w:val="32"/>
        </w:rPr>
        <w:t xml:space="preserve">开支的信函、包裹、货物等物品的邮寄费及电话费、电报费、传真费、网络通讯费等。     </w:t>
      </w:r>
    </w:p>
    <w:p>
      <w:pPr>
        <w:keepNext w:val="0"/>
        <w:keepLines w:val="0"/>
        <w:pageBreakBefore w:val="0"/>
        <w:widowControl/>
        <w:numPr>
          <w:ilvl w:val="0"/>
          <w:numId w:val="0"/>
        </w:numPr>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lang w:val="en-US"/>
        </w:rPr>
        <w:t>6、</w:t>
      </w:r>
      <w:r>
        <w:rPr>
          <w:rFonts w:hint="eastAsia" w:ascii="仿宋_GB2312" w:hAnsi="仿宋_GB2312" w:eastAsia="仿宋_GB2312"/>
          <w:b w:val="0"/>
          <w:bCs w:val="0"/>
          <w:color w:val="auto"/>
          <w:sz w:val="32"/>
        </w:rPr>
        <w:t>取暖费：反映</w:t>
      </w:r>
      <w:r>
        <w:rPr>
          <w:rFonts w:hint="eastAsia" w:ascii="仿宋_GB2312" w:hAnsi="仿宋_GB2312" w:eastAsia="仿宋_GB2312"/>
          <w:b w:val="0"/>
          <w:bCs w:val="0"/>
          <w:color w:val="auto"/>
          <w:sz w:val="32"/>
          <w:lang w:val="en-US"/>
        </w:rPr>
        <w:t>单位</w:t>
      </w:r>
      <w:r>
        <w:rPr>
          <w:rFonts w:hint="eastAsia" w:ascii="仿宋_GB2312" w:hAnsi="仿宋_GB2312" w:eastAsia="仿宋_GB2312"/>
          <w:b w:val="0"/>
          <w:bCs w:val="0"/>
          <w:color w:val="auto"/>
          <w:sz w:val="32"/>
        </w:rPr>
        <w:t xml:space="preserve">取暖用燃料费、热力费、炉具购置费、锅炉临时工的工资、节煤奖以及支付的在职职工和离退休人员取暖费等。     </w:t>
      </w:r>
    </w:p>
    <w:p>
      <w:pPr>
        <w:keepNext w:val="0"/>
        <w:keepLines w:val="0"/>
        <w:pageBreakBefore w:val="0"/>
        <w:widowControl/>
        <w:numPr>
          <w:ilvl w:val="0"/>
          <w:numId w:val="0"/>
        </w:numPr>
        <w:kinsoku/>
        <w:wordWrap/>
        <w:overflowPunct/>
        <w:topLinePunct w:val="0"/>
        <w:autoSpaceDE/>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snapToGrid/>
          <w:color w:val="auto"/>
          <w:sz w:val="32"/>
          <w:lang w:eastAsia="zh-CN"/>
        </w:rPr>
      </w:pPr>
      <w:r>
        <w:rPr>
          <w:rFonts w:hint="eastAsia" w:ascii="仿宋_GB2312" w:hAnsi="仿宋_GB2312" w:eastAsia="仿宋_GB2312"/>
          <w:b w:val="0"/>
          <w:bCs w:val="0"/>
          <w:color w:val="auto"/>
          <w:sz w:val="32"/>
          <w:lang w:val="en-US"/>
        </w:rPr>
        <w:t>7、</w:t>
      </w:r>
      <w:r>
        <w:rPr>
          <w:rFonts w:hint="eastAsia" w:ascii="仿宋_GB2312" w:hAnsi="仿宋_GB2312" w:eastAsia="仿宋_GB2312"/>
          <w:b w:val="0"/>
          <w:bCs w:val="0"/>
          <w:color w:val="auto"/>
          <w:sz w:val="32"/>
        </w:rPr>
        <w:t>物业管理费：反映</w:t>
      </w:r>
      <w:r>
        <w:rPr>
          <w:rFonts w:hint="eastAsia" w:ascii="仿宋_GB2312" w:hAnsi="仿宋_GB2312" w:eastAsia="仿宋_GB2312"/>
          <w:b w:val="0"/>
          <w:bCs w:val="0"/>
          <w:color w:val="auto"/>
          <w:sz w:val="32"/>
          <w:lang w:val="en-US"/>
        </w:rPr>
        <w:t>单位</w:t>
      </w:r>
      <w:r>
        <w:rPr>
          <w:rFonts w:hint="eastAsia" w:ascii="仿宋_GB2312" w:hAnsi="仿宋_GB2312" w:eastAsia="仿宋_GB2312"/>
          <w:b w:val="0"/>
          <w:bCs w:val="0"/>
          <w:color w:val="auto"/>
          <w:sz w:val="32"/>
        </w:rPr>
        <w:t>办公用房、职工宿舍等的物业管理费，包括综合治理、绿化、</w:t>
      </w:r>
      <w:r>
        <w:rPr>
          <w:rFonts w:hint="eastAsia" w:ascii="仿宋_GB2312" w:hAnsi="仿宋_GB2312" w:eastAsia="仿宋_GB2312"/>
          <w:b w:val="0"/>
          <w:bCs w:val="0"/>
          <w:snapToGrid/>
          <w:color w:val="auto"/>
          <w:sz w:val="32"/>
          <w:lang w:eastAsia="zh-CN"/>
        </w:rPr>
        <w:t>卫生等方面的支出。</w:t>
      </w:r>
    </w:p>
    <w:p>
      <w:pPr>
        <w:keepNext w:val="0"/>
        <w:keepLines w:val="0"/>
        <w:pageBreakBefore w:val="0"/>
        <w:widowControl/>
        <w:kinsoku/>
        <w:wordWrap/>
        <w:overflowPunct/>
        <w:topLinePunct w:val="0"/>
        <w:autoSpaceDE/>
        <w:autoSpaceDN w:val="0"/>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snapToGrid/>
          <w:color w:val="auto"/>
          <w:sz w:val="32"/>
          <w:lang w:eastAsia="zh-CN"/>
        </w:rPr>
      </w:pPr>
      <w:r>
        <w:rPr>
          <w:rFonts w:hint="eastAsia" w:ascii="仿宋_GB2312" w:hAnsi="仿宋_GB2312" w:eastAsia="仿宋_GB2312"/>
          <w:b w:val="0"/>
          <w:bCs w:val="0"/>
          <w:snapToGrid/>
          <w:color w:val="auto"/>
          <w:sz w:val="32"/>
          <w:lang w:val="en-US" w:eastAsia="zh-CN"/>
        </w:rPr>
        <w:t>8、</w:t>
      </w:r>
      <w:r>
        <w:rPr>
          <w:rFonts w:hint="eastAsia" w:ascii="仿宋_GB2312" w:hAnsi="仿宋_GB2312" w:eastAsia="仿宋_GB2312"/>
          <w:b w:val="0"/>
          <w:bCs w:val="0"/>
          <w:snapToGrid/>
          <w:color w:val="auto"/>
          <w:sz w:val="32"/>
          <w:lang w:eastAsia="zh-CN"/>
        </w:rPr>
        <w:t>差旅费：反映工作人员出差发生的城市间交通费、住宿费、伙食补助费和市内交通费。</w:t>
      </w:r>
    </w:p>
    <w:p>
      <w:pPr>
        <w:keepNext w:val="0"/>
        <w:keepLines w:val="0"/>
        <w:pageBreakBefore w:val="0"/>
        <w:widowControl/>
        <w:kinsoku/>
        <w:wordWrap/>
        <w:overflowPunct/>
        <w:topLinePunct w:val="0"/>
        <w:autoSpaceDE/>
        <w:autoSpaceDN w:val="0"/>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snapToGrid/>
          <w:color w:val="auto"/>
          <w:sz w:val="32"/>
          <w:lang w:eastAsia="zh-CN"/>
        </w:rPr>
      </w:pPr>
      <w:r>
        <w:rPr>
          <w:rFonts w:hint="eastAsia" w:ascii="仿宋_GB2312" w:hAnsi="仿宋_GB2312" w:eastAsia="仿宋_GB2312"/>
          <w:b w:val="0"/>
          <w:bCs w:val="0"/>
          <w:snapToGrid/>
          <w:color w:val="auto"/>
          <w:sz w:val="32"/>
          <w:lang w:val="en-US" w:eastAsia="zh-CN"/>
        </w:rPr>
        <w:t>9、</w:t>
      </w:r>
      <w:r>
        <w:rPr>
          <w:rFonts w:hint="eastAsia" w:ascii="仿宋_GB2312" w:hAnsi="仿宋_GB2312" w:eastAsia="仿宋_GB2312"/>
          <w:b w:val="0"/>
          <w:bCs w:val="0"/>
          <w:snapToGrid/>
          <w:color w:val="auto"/>
          <w:sz w:val="32"/>
          <w:lang w:eastAsia="zh-CN"/>
        </w:rPr>
        <w:t>会议费：反映</w:t>
      </w:r>
      <w:r>
        <w:rPr>
          <w:rFonts w:hint="eastAsia" w:ascii="仿宋_GB2312" w:hAnsi="仿宋_GB2312" w:eastAsia="仿宋_GB2312"/>
          <w:b w:val="0"/>
          <w:bCs w:val="0"/>
          <w:snapToGrid/>
          <w:color w:val="auto"/>
          <w:sz w:val="32"/>
          <w:lang w:val="en-US" w:eastAsia="zh-CN"/>
        </w:rPr>
        <w:t>自治区</w:t>
      </w:r>
      <w:r>
        <w:rPr>
          <w:rFonts w:hint="eastAsia" w:ascii="仿宋_GB2312" w:hAnsi="仿宋_GB2312" w:eastAsia="仿宋_GB2312"/>
          <w:b w:val="0"/>
          <w:bCs w:val="0"/>
          <w:snapToGrid/>
          <w:color w:val="auto"/>
          <w:sz w:val="32"/>
          <w:lang w:eastAsia="zh-CN"/>
        </w:rPr>
        <w:t>信访局在会议期间按规定开支的住宿费、伙食费、会议室租金、交通费、文件印刷费、医药费等支出。</w:t>
      </w:r>
    </w:p>
    <w:p>
      <w:pPr>
        <w:keepNext w:val="0"/>
        <w:keepLines w:val="0"/>
        <w:pageBreakBefore w:val="0"/>
        <w:widowControl/>
        <w:kinsoku/>
        <w:wordWrap/>
        <w:overflowPunct/>
        <w:topLinePunct w:val="0"/>
        <w:autoSpaceDE/>
        <w:autoSpaceDN w:val="0"/>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snapToGrid/>
          <w:color w:val="auto"/>
          <w:sz w:val="32"/>
          <w:lang w:eastAsia="zh-CN"/>
        </w:rPr>
      </w:pPr>
      <w:r>
        <w:rPr>
          <w:rFonts w:hint="eastAsia" w:ascii="仿宋_GB2312" w:hAnsi="仿宋_GB2312" w:eastAsia="仿宋_GB2312"/>
          <w:b w:val="0"/>
          <w:bCs w:val="0"/>
          <w:snapToGrid/>
          <w:color w:val="auto"/>
          <w:sz w:val="32"/>
          <w:lang w:eastAsia="zh-CN"/>
        </w:rPr>
        <w:t>1</w:t>
      </w:r>
      <w:r>
        <w:rPr>
          <w:rFonts w:hint="eastAsia" w:ascii="仿宋_GB2312" w:hAnsi="仿宋_GB2312" w:eastAsia="仿宋_GB2312"/>
          <w:b w:val="0"/>
          <w:bCs w:val="0"/>
          <w:snapToGrid/>
          <w:color w:val="auto"/>
          <w:sz w:val="32"/>
          <w:lang w:val="en-US" w:eastAsia="zh-CN"/>
        </w:rPr>
        <w:t>0、</w:t>
      </w:r>
      <w:r>
        <w:rPr>
          <w:rFonts w:hint="eastAsia" w:ascii="仿宋_GB2312" w:hAnsi="仿宋_GB2312" w:eastAsia="仿宋_GB2312"/>
          <w:b w:val="0"/>
          <w:bCs w:val="0"/>
          <w:snapToGrid/>
          <w:color w:val="auto"/>
          <w:sz w:val="32"/>
          <w:lang w:eastAsia="zh-CN"/>
        </w:rPr>
        <w:t>培训费：反映各类培训支出。</w:t>
      </w:r>
    </w:p>
    <w:p>
      <w:pPr>
        <w:keepNext w:val="0"/>
        <w:keepLines w:val="0"/>
        <w:pageBreakBefore w:val="0"/>
        <w:widowControl/>
        <w:kinsoku/>
        <w:wordWrap/>
        <w:overflowPunct/>
        <w:topLinePunct w:val="0"/>
        <w:autoSpaceDE/>
        <w:autoSpaceDN w:val="0"/>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snapToGrid/>
          <w:color w:val="auto"/>
          <w:sz w:val="32"/>
          <w:lang w:eastAsia="zh-CN"/>
        </w:rPr>
      </w:pPr>
      <w:r>
        <w:rPr>
          <w:rFonts w:hint="eastAsia" w:ascii="仿宋_GB2312" w:hAnsi="仿宋_GB2312" w:eastAsia="仿宋_GB2312"/>
          <w:b w:val="0"/>
          <w:bCs w:val="0"/>
          <w:snapToGrid/>
          <w:color w:val="auto"/>
          <w:sz w:val="32"/>
          <w:lang w:eastAsia="zh-CN"/>
        </w:rPr>
        <w:t>1</w:t>
      </w:r>
      <w:r>
        <w:rPr>
          <w:rFonts w:hint="eastAsia" w:ascii="仿宋_GB2312" w:hAnsi="仿宋_GB2312" w:eastAsia="仿宋_GB2312"/>
          <w:b w:val="0"/>
          <w:bCs w:val="0"/>
          <w:snapToGrid/>
          <w:color w:val="auto"/>
          <w:sz w:val="32"/>
          <w:lang w:val="en-US" w:eastAsia="zh-CN"/>
        </w:rPr>
        <w:t>1、</w:t>
      </w:r>
      <w:r>
        <w:rPr>
          <w:rFonts w:hint="eastAsia" w:ascii="仿宋_GB2312" w:hAnsi="仿宋_GB2312" w:eastAsia="仿宋_GB2312"/>
          <w:b w:val="0"/>
          <w:bCs w:val="0"/>
          <w:snapToGrid/>
          <w:color w:val="auto"/>
          <w:sz w:val="32"/>
          <w:lang w:eastAsia="zh-CN"/>
        </w:rPr>
        <w:t>公务接待费：反映按规定开支的各类公务接待(含外宾接待)费用。</w:t>
      </w:r>
    </w:p>
    <w:p>
      <w:pPr>
        <w:keepNext w:val="0"/>
        <w:keepLines w:val="0"/>
        <w:pageBreakBefore w:val="0"/>
        <w:widowControl/>
        <w:kinsoku/>
        <w:wordWrap/>
        <w:overflowPunct/>
        <w:topLinePunct w:val="0"/>
        <w:autoSpaceDE/>
        <w:autoSpaceDN w:val="0"/>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rPr>
        <w:t>1</w:t>
      </w:r>
      <w:r>
        <w:rPr>
          <w:rFonts w:hint="eastAsia" w:ascii="仿宋_GB2312" w:hAnsi="仿宋_GB2312" w:eastAsia="仿宋_GB2312"/>
          <w:b w:val="0"/>
          <w:bCs w:val="0"/>
          <w:color w:val="auto"/>
          <w:sz w:val="32"/>
          <w:lang w:val="en-US"/>
        </w:rPr>
        <w:t>2、</w:t>
      </w:r>
      <w:r>
        <w:rPr>
          <w:rFonts w:hint="eastAsia" w:ascii="仿宋_GB2312" w:hAnsi="仿宋_GB2312" w:eastAsia="仿宋_GB2312"/>
          <w:b w:val="0"/>
          <w:bCs w:val="0"/>
          <w:color w:val="auto"/>
          <w:sz w:val="32"/>
        </w:rPr>
        <w:t xml:space="preserve">工会经费：反映按规定提取的工会经费。     </w:t>
      </w:r>
    </w:p>
    <w:p>
      <w:pPr>
        <w:keepNext w:val="0"/>
        <w:keepLines w:val="0"/>
        <w:pageBreakBefore w:val="0"/>
        <w:widowControl/>
        <w:kinsoku/>
        <w:wordWrap/>
        <w:overflowPunct/>
        <w:topLinePunct w:val="0"/>
        <w:autoSpaceDE/>
        <w:autoSpaceDN w:val="0"/>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rPr>
        <w:t>1</w:t>
      </w:r>
      <w:r>
        <w:rPr>
          <w:rFonts w:hint="eastAsia" w:ascii="仿宋_GB2312" w:hAnsi="仿宋_GB2312" w:eastAsia="仿宋_GB2312"/>
          <w:b w:val="0"/>
          <w:bCs w:val="0"/>
          <w:color w:val="auto"/>
          <w:sz w:val="32"/>
          <w:lang w:val="en-US"/>
        </w:rPr>
        <w:t>3、</w:t>
      </w:r>
      <w:r>
        <w:rPr>
          <w:rFonts w:hint="eastAsia" w:ascii="仿宋_GB2312" w:hAnsi="仿宋_GB2312" w:eastAsia="仿宋_GB2312"/>
          <w:b w:val="0"/>
          <w:bCs w:val="0"/>
          <w:color w:val="auto"/>
          <w:sz w:val="32"/>
        </w:rPr>
        <w:t xml:space="preserve">福利费：反映按规定提取的福利费。    </w:t>
      </w:r>
    </w:p>
    <w:p>
      <w:pPr>
        <w:keepNext w:val="0"/>
        <w:keepLines w:val="0"/>
        <w:pageBreakBefore w:val="0"/>
        <w:widowControl/>
        <w:kinsoku/>
        <w:wordWrap/>
        <w:overflowPunct/>
        <w:topLinePunct w:val="0"/>
        <w:autoSpaceDE/>
        <w:autoSpaceDN w:val="0"/>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lang w:val="en-US"/>
        </w:rPr>
        <w:t>14、</w:t>
      </w:r>
      <w:r>
        <w:rPr>
          <w:rFonts w:hint="eastAsia" w:ascii="仿宋_GB2312" w:hAnsi="仿宋_GB2312" w:eastAsia="仿宋_GB2312"/>
          <w:b w:val="0"/>
          <w:bCs w:val="0"/>
          <w:color w:val="auto"/>
          <w:sz w:val="32"/>
        </w:rPr>
        <w:t>公务用车运行维护费：反映</w:t>
      </w:r>
      <w:r>
        <w:rPr>
          <w:rFonts w:hint="eastAsia" w:ascii="仿宋_GB2312" w:hAnsi="仿宋_GB2312" w:eastAsia="仿宋_GB2312"/>
          <w:b w:val="0"/>
          <w:bCs w:val="0"/>
          <w:color w:val="auto"/>
          <w:sz w:val="32"/>
          <w:lang w:val="en-US"/>
        </w:rPr>
        <w:t>单位执法执勤</w:t>
      </w:r>
      <w:r>
        <w:rPr>
          <w:rFonts w:hint="eastAsia" w:ascii="仿宋_GB2312" w:hAnsi="仿宋_GB2312" w:eastAsia="仿宋_GB2312"/>
          <w:b w:val="0"/>
          <w:bCs w:val="0"/>
          <w:color w:val="auto"/>
          <w:sz w:val="32"/>
        </w:rPr>
        <w:t xml:space="preserve">用车租用费、燃料费、维修费、过桥过路费、保险费、安全奖励费用等支出。     </w:t>
      </w:r>
    </w:p>
    <w:p>
      <w:pPr>
        <w:keepNext w:val="0"/>
        <w:keepLines w:val="0"/>
        <w:pageBreakBefore w:val="0"/>
        <w:widowControl/>
        <w:kinsoku/>
        <w:wordWrap/>
        <w:overflowPunct/>
        <w:topLinePunct w:val="0"/>
        <w:autoSpaceDE/>
        <w:autoSpaceDN w:val="0"/>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lang w:val="en-US"/>
        </w:rPr>
        <w:t>15、</w:t>
      </w:r>
      <w:r>
        <w:rPr>
          <w:rFonts w:hint="eastAsia" w:ascii="仿宋_GB2312" w:hAnsi="仿宋_GB2312" w:eastAsia="仿宋_GB2312"/>
          <w:b w:val="0"/>
          <w:bCs w:val="0"/>
          <w:color w:val="auto"/>
          <w:sz w:val="32"/>
        </w:rPr>
        <w:t xml:space="preserve">其他商品和服务支出：反映上述科目未包括的日常公用支出。     </w:t>
      </w:r>
    </w:p>
    <w:p>
      <w:pPr>
        <w:keepNext w:val="0"/>
        <w:keepLines w:val="0"/>
        <w:pageBreakBefore w:val="0"/>
        <w:widowControl/>
        <w:kinsoku/>
        <w:wordWrap/>
        <w:overflowPunct/>
        <w:topLinePunct w:val="0"/>
        <w:autoSpaceDE/>
        <w:autoSpaceDN w:val="0"/>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color w:val="auto"/>
          <w:sz w:val="32"/>
        </w:rPr>
      </w:pPr>
      <w:r>
        <w:rPr>
          <w:rFonts w:hint="eastAsia" w:ascii="仿宋_GB2312" w:hAnsi="仿宋_GB2312" w:eastAsia="仿宋_GB2312"/>
          <w:b w:val="0"/>
          <w:bCs w:val="0"/>
          <w:color w:val="auto"/>
          <w:sz w:val="32"/>
          <w:lang w:val="en-US"/>
        </w:rPr>
        <w:t>六</w:t>
      </w:r>
      <w:r>
        <w:rPr>
          <w:rFonts w:hint="eastAsia" w:ascii="仿宋_GB2312" w:hAnsi="仿宋_GB2312" w:eastAsia="仿宋_GB2312"/>
          <w:b w:val="0"/>
          <w:bCs w:val="0"/>
          <w:color w:val="auto"/>
          <w:sz w:val="32"/>
        </w:rPr>
        <w:t xml:space="preserve">、项目支出：指在基本支出之外为完成特定行政任务 和事业发展目标所发生的支出。     </w:t>
      </w:r>
    </w:p>
    <w:p>
      <w:pPr>
        <w:keepNext w:val="0"/>
        <w:keepLines w:val="0"/>
        <w:pageBreakBefore w:val="0"/>
        <w:widowControl/>
        <w:kinsoku/>
        <w:wordWrap/>
        <w:overflowPunct/>
        <w:topLinePunct w:val="0"/>
        <w:autoSpaceDE/>
        <w:autoSpaceDN w:val="0"/>
        <w:bidi w:val="0"/>
        <w:adjustRightInd/>
        <w:snapToGrid/>
        <w:spacing w:before="0" w:beforeLines="0" w:beforeAutospacing="0" w:after="0" w:afterLines="0" w:afterAutospacing="0" w:line="240" w:lineRule="auto"/>
        <w:ind w:left="0" w:leftChars="0" w:right="0" w:rightChars="0" w:firstLine="640" w:firstLineChars="200"/>
        <w:jc w:val="left"/>
        <w:textAlignment w:val="auto"/>
        <w:outlineLvl w:val="9"/>
        <w:rPr>
          <w:rFonts w:hint="eastAsia" w:ascii="仿宋_GB2312" w:hAnsi="仿宋_GB2312" w:eastAsia="仿宋_GB2312"/>
          <w:b w:val="0"/>
          <w:bCs w:val="0"/>
          <w:snapToGrid/>
          <w:color w:val="auto"/>
          <w:sz w:val="32"/>
          <w:lang w:eastAsia="zh-CN"/>
        </w:rPr>
      </w:pPr>
      <w:r>
        <w:rPr>
          <w:rFonts w:hint="eastAsia" w:ascii="仿宋_GB2312" w:hAnsi="仿宋_GB2312" w:eastAsia="仿宋_GB2312"/>
          <w:b w:val="0"/>
          <w:bCs w:val="0"/>
          <w:color w:val="auto"/>
          <w:sz w:val="32"/>
          <w:lang w:val="en-US"/>
        </w:rPr>
        <w:t>七</w:t>
      </w:r>
      <w:r>
        <w:rPr>
          <w:rFonts w:hint="eastAsia" w:ascii="仿宋_GB2312" w:hAnsi="仿宋_GB2312" w:eastAsia="仿宋_GB2312"/>
          <w:b w:val="0"/>
          <w:bCs w:val="0"/>
          <w:color w:val="auto"/>
          <w:sz w:val="32"/>
        </w:rPr>
        <w:t>、机关运行经费：指</w:t>
      </w:r>
      <w:r>
        <w:rPr>
          <w:rFonts w:hint="eastAsia" w:ascii="仿宋_GB2312" w:hAnsi="仿宋_GB2312" w:eastAsia="仿宋_GB2312"/>
          <w:b w:val="0"/>
          <w:bCs w:val="0"/>
          <w:color w:val="auto"/>
          <w:sz w:val="32"/>
          <w:lang w:val="en-US"/>
        </w:rPr>
        <w:t>自治区</w:t>
      </w:r>
      <w:r>
        <w:rPr>
          <w:rFonts w:hint="eastAsia" w:ascii="仿宋_GB2312" w:hAnsi="仿宋_GB2312" w:eastAsia="仿宋_GB2312"/>
          <w:b w:val="0"/>
          <w:bCs w:val="0"/>
          <w:color w:val="auto"/>
          <w:sz w:val="32"/>
          <w:lang w:val="en-US" w:eastAsia="zh-CN"/>
        </w:rPr>
        <w:t>信访局</w:t>
      </w:r>
      <w:r>
        <w:rPr>
          <w:rFonts w:hint="eastAsia" w:ascii="仿宋_GB2312" w:hAnsi="仿宋_GB2312" w:eastAsia="仿宋_GB2312"/>
          <w:b w:val="0"/>
          <w:bCs w:val="0"/>
          <w:color w:val="auto"/>
          <w:sz w:val="32"/>
          <w:lang w:val="en-US"/>
        </w:rPr>
        <w:t>机关中心</w:t>
      </w:r>
      <w:r>
        <w:rPr>
          <w:rFonts w:hint="eastAsia" w:ascii="仿宋_GB2312" w:hAnsi="仿宋_GB2312" w:eastAsia="仿宋_GB2312"/>
          <w:b w:val="0"/>
          <w:bCs w:val="0"/>
          <w:color w:val="auto"/>
          <w:sz w:val="32"/>
        </w:rPr>
        <w:t>为保障</w:t>
      </w:r>
      <w:r>
        <w:rPr>
          <w:rFonts w:hint="eastAsia" w:ascii="仿宋_GB2312" w:hAnsi="仿宋_GB2312" w:eastAsia="仿宋_GB2312"/>
          <w:b w:val="0"/>
          <w:bCs w:val="0"/>
          <w:color w:val="auto"/>
          <w:sz w:val="32"/>
          <w:lang w:val="en-US"/>
        </w:rPr>
        <w:t>机关</w:t>
      </w:r>
      <w:r>
        <w:rPr>
          <w:rFonts w:hint="eastAsia" w:ascii="仿宋_GB2312" w:hAnsi="仿宋_GB2312" w:eastAsia="仿宋_GB2312"/>
          <w:b w:val="0"/>
          <w:bCs w:val="0"/>
          <w:color w:val="auto"/>
          <w:sz w:val="32"/>
        </w:rPr>
        <w:t>运行用于购买货物和服务的各项资金，包括办公及印刷费、邮电费、差旅费、会议费、福利费、日常</w:t>
      </w:r>
      <w:r>
        <w:rPr>
          <w:rFonts w:hint="eastAsia" w:ascii="仿宋_GB2312" w:hAnsi="仿宋_GB2312" w:eastAsia="仿宋_GB2312"/>
          <w:b w:val="0"/>
          <w:bCs w:val="0"/>
          <w:snapToGrid/>
          <w:color w:val="auto"/>
          <w:sz w:val="32"/>
          <w:lang w:eastAsia="zh-CN"/>
        </w:rPr>
        <w:t>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val="0"/>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仿宋_GB2312" w:eastAsia="仿宋_GB2312"/>
          <w:b w:val="0"/>
          <w:bCs w:val="0"/>
          <w:snapToGrid/>
          <w:color w:val="auto"/>
          <w:sz w:val="32"/>
          <w:lang w:eastAsia="zh-CN"/>
        </w:rPr>
      </w:pPr>
      <w:r>
        <w:rPr>
          <w:rFonts w:hint="eastAsia" w:ascii="仿宋_GB2312" w:hAnsi="仿宋_GB2312" w:eastAsia="仿宋_GB2312"/>
          <w:b w:val="0"/>
          <w:bCs w:val="0"/>
          <w:snapToGrid/>
          <w:color w:val="auto"/>
          <w:sz w:val="32"/>
          <w:lang w:eastAsia="zh-CN"/>
        </w:rPr>
        <w:t xml:space="preserve">    </w:t>
      </w:r>
      <w:r>
        <w:rPr>
          <w:rFonts w:hint="eastAsia" w:ascii="仿宋_GB2312" w:hAnsi="仿宋_GB2312" w:eastAsia="仿宋_GB2312"/>
          <w:b w:val="0"/>
          <w:bCs w:val="0"/>
          <w:snapToGrid/>
          <w:color w:val="auto"/>
          <w:sz w:val="32"/>
          <w:lang w:val="en-US" w:eastAsia="zh-CN"/>
        </w:rPr>
        <w:t>八</w:t>
      </w:r>
      <w:r>
        <w:rPr>
          <w:rFonts w:hint="eastAsia" w:ascii="仿宋_GB2312" w:hAnsi="仿宋_GB2312" w:eastAsia="仿宋_GB2312"/>
          <w:b w:val="0"/>
          <w:bCs w:val="0"/>
          <w:snapToGrid/>
          <w:color w:val="auto"/>
          <w:sz w:val="32"/>
          <w:lang w:eastAsia="zh-CN"/>
        </w:rPr>
        <w:t>、“三公”经费：指纳入中央财政预决算管理的“三</w:t>
      </w:r>
    </w:p>
    <w:p>
      <w:pPr>
        <w:keepNext w:val="0"/>
        <w:keepLines w:val="0"/>
        <w:pageBreakBefore w:val="0"/>
        <w:widowControl/>
        <w:kinsoku/>
        <w:wordWrap/>
        <w:overflowPunct/>
        <w:topLinePunct w:val="0"/>
        <w:autoSpaceDE/>
        <w:autoSpaceDN w:val="0"/>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仿宋_GB2312" w:eastAsia="仿宋_GB2312"/>
          <w:b w:val="0"/>
          <w:bCs w:val="0"/>
          <w:snapToGrid/>
          <w:color w:val="auto"/>
          <w:sz w:val="32"/>
          <w:lang w:eastAsia="zh-CN"/>
        </w:rPr>
      </w:pPr>
      <w:r>
        <w:rPr>
          <w:rFonts w:hint="eastAsia" w:ascii="仿宋_GB2312" w:hAnsi="仿宋_GB2312" w:eastAsia="仿宋_GB2312"/>
          <w:b w:val="0"/>
          <w:bCs w:val="0"/>
          <w:snapToGrid/>
          <w:color w:val="auto"/>
          <w:sz w:val="32"/>
          <w:lang w:eastAsia="zh-CN"/>
        </w:rPr>
        <w:t>公”经费，包括中央部门用财政拨款安排的因公出国(境)费、</w:t>
      </w:r>
    </w:p>
    <w:p>
      <w:pPr>
        <w:keepNext w:val="0"/>
        <w:keepLines w:val="0"/>
        <w:pageBreakBefore w:val="0"/>
        <w:widowControl/>
        <w:kinsoku/>
        <w:wordWrap/>
        <w:overflowPunct/>
        <w:topLinePunct w:val="0"/>
        <w:autoSpaceDE/>
        <w:autoSpaceDN w:val="0"/>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仿宋_GB2312" w:eastAsia="仿宋_GB2312"/>
          <w:b w:val="0"/>
          <w:bCs w:val="0"/>
          <w:snapToGrid/>
          <w:color w:val="auto"/>
          <w:sz w:val="32"/>
          <w:lang w:eastAsia="zh-CN"/>
        </w:rPr>
      </w:pPr>
      <w:r>
        <w:rPr>
          <w:rFonts w:hint="eastAsia" w:ascii="仿宋_GB2312" w:hAnsi="仿宋_GB2312" w:eastAsia="仿宋_GB2312"/>
          <w:b w:val="0"/>
          <w:bCs w:val="0"/>
          <w:snapToGrid/>
          <w:color w:val="auto"/>
          <w:sz w:val="32"/>
          <w:lang w:eastAsia="zh-CN"/>
        </w:rPr>
        <w:t>公务用车购置及运行费和公务接待费。其中，因公出国(境)</w:t>
      </w:r>
    </w:p>
    <w:p>
      <w:pPr>
        <w:keepNext w:val="0"/>
        <w:keepLines w:val="0"/>
        <w:pageBreakBefore w:val="0"/>
        <w:widowControl/>
        <w:kinsoku/>
        <w:wordWrap/>
        <w:overflowPunct/>
        <w:topLinePunct w:val="0"/>
        <w:autoSpaceDE/>
        <w:autoSpaceDN w:val="0"/>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仿宋_GB2312" w:eastAsia="仿宋_GB2312"/>
          <w:b w:val="0"/>
          <w:bCs w:val="0"/>
          <w:snapToGrid/>
          <w:color w:val="auto"/>
          <w:sz w:val="32"/>
          <w:lang w:eastAsia="zh-CN"/>
        </w:rPr>
      </w:pPr>
      <w:r>
        <w:rPr>
          <w:rFonts w:hint="eastAsia" w:ascii="仿宋_GB2312" w:hAnsi="仿宋_GB2312" w:eastAsia="仿宋_GB2312"/>
          <w:b w:val="0"/>
          <w:bCs w:val="0"/>
          <w:snapToGrid/>
          <w:color w:val="auto"/>
          <w:sz w:val="32"/>
          <w:lang w:eastAsia="zh-CN"/>
        </w:rPr>
        <w:t>费反映单位公务出国(境)的国际旅费、国外城市问交通费、</w:t>
      </w:r>
    </w:p>
    <w:p>
      <w:pPr>
        <w:keepNext w:val="0"/>
        <w:keepLines w:val="0"/>
        <w:pageBreakBefore w:val="0"/>
        <w:widowControl/>
        <w:kinsoku/>
        <w:wordWrap/>
        <w:overflowPunct/>
        <w:topLinePunct w:val="0"/>
        <w:autoSpaceDE/>
        <w:autoSpaceDN w:val="0"/>
        <w:bidi w:val="0"/>
        <w:adjustRightInd/>
        <w:snapToGrid/>
        <w:spacing w:before="0" w:beforeLines="0" w:beforeAutospacing="0" w:after="0" w:afterLines="0" w:afterAutospacing="0" w:line="240" w:lineRule="auto"/>
        <w:ind w:left="0" w:leftChars="0" w:right="0" w:rightChars="0"/>
        <w:jc w:val="left"/>
        <w:textAlignment w:val="auto"/>
        <w:outlineLvl w:val="9"/>
        <w:rPr>
          <w:rFonts w:hint="eastAsia" w:ascii="仿宋_GB2312" w:hAnsi="仿宋_GB2312" w:eastAsia="仿宋_GB2312"/>
          <w:b w:val="0"/>
          <w:bCs w:val="0"/>
          <w:color w:val="auto"/>
          <w:sz w:val="32"/>
          <w:szCs w:val="32"/>
        </w:rPr>
      </w:pPr>
      <w:r>
        <w:rPr>
          <w:rFonts w:hint="eastAsia" w:ascii="仿宋_GB2312" w:hAnsi="仿宋_GB2312" w:eastAsia="仿宋_GB2312"/>
          <w:b w:val="0"/>
          <w:bCs w:val="0"/>
          <w:snapToGrid/>
          <w:color w:val="auto"/>
          <w:sz w:val="32"/>
          <w:lang w:eastAsia="zh-CN"/>
        </w:rPr>
        <w:t>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黑体">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script"/>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hakuyoxingshu7000">
    <w:panose1 w:val="02000600000000000000"/>
    <w:charset w:val="86"/>
    <w:family w:val="auto"/>
    <w:pitch w:val="default"/>
    <w:sig w:usb0="FFFFFFFF" w:usb1="E9FFFFFF" w:usb2="0000003F" w:usb3="00000000" w:csb0="603F00FF" w:csb1="FFFF0000"/>
  </w:font>
  <w:font w:name="Helvetica">
    <w:altName w:val="Arial"/>
    <w:panose1 w:val="020B0604020202020204"/>
    <w:charset w:val="00"/>
    <w:family w:val="swiss"/>
    <w:pitch w:val="default"/>
    <w:sig w:usb0="00000000" w:usb1="00000000" w:usb2="00000008" w:usb3="00000000" w:csb0="000001FF" w:csb1="00000000"/>
  </w:font>
  <w:font w:name="小标宋">
    <w:altName w:val="微软雅黑"/>
    <w:panose1 w:val="03000509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Courier New">
    <w:panose1 w:val="020703090202050204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593BD9"/>
    <w:rsid w:val="0CF42463"/>
    <w:rsid w:val="14CA31E9"/>
    <w:rsid w:val="5A083DD6"/>
    <w:rsid w:val="74712C9B"/>
    <w:rsid w:val="78E63CD2"/>
    <w:rsid w:val="79D65B8A"/>
    <w:rsid w:val="7A593B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heme="minorBidi"/>
      <w:kern w:val="2"/>
      <w:sz w:val="21"/>
      <w:szCs w:val="22"/>
      <w:lang w:val="en-US" w:eastAsia="zh-CN" w:bidi="ar-SA"/>
    </w:rPr>
  </w:style>
  <w:style w:type="character" w:default="1" w:styleId="4">
    <w:name w:val="Default Paragraph Font"/>
    <w:link w:val="5"/>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customStyle="1" w:styleId="5">
    <w:name w:val="Char"/>
    <w:basedOn w:val="1"/>
    <w:link w:val="4"/>
    <w:qFormat/>
    <w:uiPriority w:val="0"/>
    <w:pPr>
      <w:adjustRightInd w:val="0"/>
      <w:spacing w:line="360" w:lineRule="auto"/>
    </w:pPr>
  </w:style>
  <w:style w:type="character" w:styleId="6">
    <w:name w:val="Strong"/>
    <w:basedOn w:val="4"/>
    <w:uiPriority w:val="0"/>
    <w:rPr>
      <w:b/>
    </w:rPr>
  </w:style>
  <w:style w:type="paragraph" w:customStyle="1" w:styleId="8">
    <w:name w:val="Normal (Web)"/>
    <w:basedOn w:val="1"/>
    <w:qFormat/>
    <w:uiPriority w:val="0"/>
    <w:pPr>
      <w:spacing w:before="0" w:beforeLines="0" w:beforeAutospacing="0" w:after="0" w:afterLines="0" w:afterAutospacing="0"/>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2018-12-28T02:23:00Z</dcterms:created>
  <dc:creator>Administrator</dc:creator>
  <cp:lastModifiedBy>Administrator</cp:lastModifiedBy>
  <cp:lastPrinted>2018-12-28T02:59:46Z</cp:lastPrinted>
  <dcterms:modified xsi:type="dcterms:W3CDTF">2018-12-28T03:03:41Z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