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jc w:val="center"/>
        <w:rPr>
          <w:rFonts w:ascii="Arial" w:hAnsi="Arial" w:eastAsia="宋体" w:cs="Arial"/>
          <w:b/>
          <w:bCs/>
          <w:sz w:val="36"/>
          <w:szCs w:val="36"/>
        </w:rPr>
      </w:pPr>
      <w:r>
        <w:rPr>
          <w:rFonts w:hint="eastAsia" w:ascii="方正小标宋_GBK" w:hAnsi="华文中宋" w:eastAsia="方正小标宋_GBK" w:cs="宋体"/>
          <w:b/>
          <w:kern w:val="0"/>
          <w:sz w:val="48"/>
          <w:szCs w:val="48"/>
        </w:rPr>
        <w:t>项目支出绩效评价报告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21"/>
          <w:rFonts w:hint="eastAsia" w:ascii="楷体" w:hAnsi="楷体" w:eastAsia="楷体"/>
          <w:spacing w:val="-4"/>
          <w:sz w:val="32"/>
          <w:szCs w:val="32"/>
        </w:rPr>
        <w:t>202</w:t>
      </w:r>
      <w:r>
        <w:rPr>
          <w:rStyle w:val="21"/>
          <w:rFonts w:hint="eastAsia" w:ascii="楷体" w:hAnsi="楷体" w:eastAsia="楷体"/>
          <w:spacing w:val="-4"/>
          <w:sz w:val="32"/>
          <w:szCs w:val="32"/>
          <w:lang w:val="en-US" w:eastAsia="zh-CN"/>
        </w:rPr>
        <w:t>3</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21"/>
          <w:rFonts w:hint="eastAsia" w:ascii="楷体" w:hAnsi="楷体" w:eastAsia="楷体" w:cs="Times New Roman"/>
          <w:spacing w:val="-4"/>
          <w:sz w:val="32"/>
          <w:szCs w:val="32"/>
          <w:lang w:eastAsia="zh-CN"/>
        </w:rPr>
        <w:t>自治区信访局办公用房维修改造项目</w:t>
      </w:r>
    </w:p>
    <w:p>
      <w:pPr>
        <w:spacing w:line="540" w:lineRule="exact"/>
        <w:ind w:firstLine="567"/>
        <w:rPr>
          <w:rFonts w:hint="eastAsia" w:ascii="楷体" w:hAnsi="楷体" w:eastAsia="仿宋_GB2312"/>
          <w:b/>
          <w:bCs/>
          <w:spacing w:val="-4"/>
          <w:sz w:val="32"/>
          <w:szCs w:val="32"/>
          <w:lang w:val="en-US" w:eastAsia="zh-CN"/>
        </w:rPr>
      </w:pPr>
      <w:r>
        <w:rPr>
          <w:rFonts w:hint="eastAsia" w:hAnsi="宋体" w:eastAsia="仿宋_GB2312" w:cs="宋体"/>
          <w:kern w:val="0"/>
          <w:sz w:val="36"/>
          <w:szCs w:val="36"/>
        </w:rPr>
        <w:t xml:space="preserve">  实施单位（公章）：</w:t>
      </w:r>
      <w:r>
        <w:rPr>
          <w:rStyle w:val="21"/>
          <w:rFonts w:hint="eastAsia" w:ascii="楷体" w:hAnsi="楷体" w:eastAsia="楷体" w:cs="Times New Roman"/>
          <w:spacing w:val="-4"/>
          <w:sz w:val="32"/>
          <w:szCs w:val="32"/>
          <w:lang w:eastAsia="zh-CN"/>
        </w:rPr>
        <w:t>自治区信访局</w:t>
      </w:r>
    </w:p>
    <w:p>
      <w:pPr>
        <w:spacing w:line="540" w:lineRule="exact"/>
        <w:ind w:firstLine="900" w:firstLineChars="250"/>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Style w:val="21"/>
          <w:rFonts w:hint="eastAsia" w:ascii="楷体" w:hAnsi="楷体" w:eastAsia="楷体" w:cs="Times New Roman"/>
          <w:spacing w:val="-4"/>
          <w:sz w:val="32"/>
          <w:szCs w:val="32"/>
          <w:lang w:eastAsia="zh-CN"/>
        </w:rPr>
        <w:t>自治区信访局</w:t>
      </w:r>
    </w:p>
    <w:p>
      <w:pPr>
        <w:spacing w:line="540" w:lineRule="exact"/>
        <w:ind w:firstLine="900" w:firstLineChars="250"/>
        <w:rPr>
          <w:rFonts w:hint="default" w:ascii="楷体" w:hAnsi="楷体" w:eastAsia="仿宋_GB2312"/>
          <w:b/>
          <w:bCs/>
          <w:spacing w:val="-4"/>
          <w:sz w:val="32"/>
          <w:szCs w:val="32"/>
          <w:lang w:val="en-US" w:eastAsia="zh-CN"/>
        </w:rPr>
      </w:pPr>
      <w:r>
        <w:rPr>
          <w:rFonts w:hint="eastAsia" w:hAnsi="宋体" w:eastAsia="仿宋_GB2312" w:cs="宋体"/>
          <w:kern w:val="0"/>
          <w:sz w:val="36"/>
          <w:szCs w:val="36"/>
        </w:rPr>
        <w:t>项目负责人（签章）：</w:t>
      </w:r>
      <w:bookmarkStart w:id="0" w:name="_GoBack"/>
      <w:r>
        <w:rPr>
          <w:rStyle w:val="21"/>
          <w:rFonts w:hint="eastAsia" w:ascii="楷体" w:hAnsi="楷体" w:eastAsia="楷体" w:cs="Times New Roman"/>
          <w:spacing w:val="-4"/>
          <w:sz w:val="32"/>
          <w:szCs w:val="32"/>
          <w:lang w:val="en-US" w:eastAsia="zh-CN"/>
        </w:rPr>
        <w:t>陈冬红</w:t>
      </w:r>
      <w:bookmarkEnd w:id="0"/>
    </w:p>
    <w:p>
      <w:pPr>
        <w:spacing w:line="540" w:lineRule="exact"/>
        <w:ind w:left="0" w:leftChars="0" w:firstLine="838" w:firstLineChars="233"/>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日</w:t>
      </w:r>
    </w:p>
    <w:p>
      <w:pPr>
        <w:spacing w:line="700" w:lineRule="exact"/>
        <w:ind w:firstLine="708" w:firstLineChars="236"/>
        <w:jc w:val="left"/>
        <w:rPr>
          <w:rFonts w:hAnsi="宋体" w:eastAsia="仿宋_GB2312" w:cs="宋体"/>
          <w:kern w:val="0"/>
          <w:sz w:val="30"/>
          <w:szCs w:val="30"/>
        </w:rPr>
      </w:pPr>
    </w:p>
    <w:p>
      <w:pPr>
        <w:spacing w:line="540" w:lineRule="exact"/>
        <w:rPr>
          <w:rStyle w:val="21"/>
          <w:rFonts w:ascii="黑体" w:hAnsi="黑体" w:eastAsia="黑体"/>
          <w:b w:val="0"/>
          <w:spacing w:val="-4"/>
          <w:sz w:val="32"/>
          <w:szCs w:val="32"/>
        </w:rPr>
      </w:pPr>
    </w:p>
    <w:p>
      <w:pPr>
        <w:keepNext w:val="0"/>
        <w:keepLines w:val="0"/>
        <w:pageBreakBefore w:val="0"/>
        <w:kinsoku/>
        <w:wordWrap/>
        <w:overflowPunct/>
        <w:topLinePunct w:val="0"/>
        <w:autoSpaceDE/>
        <w:autoSpaceDN/>
        <w:bidi w:val="0"/>
        <w:adjustRightInd/>
        <w:snapToGrid/>
        <w:spacing w:line="560" w:lineRule="exact"/>
        <w:ind w:firstLine="640"/>
        <w:rPr>
          <w:rStyle w:val="21"/>
          <w:rFonts w:hint="eastAsia" w:ascii="黑体" w:hAnsi="黑体" w:eastAsia="黑体"/>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21"/>
          <w:rFonts w:ascii="黑体" w:hAnsi="黑体" w:eastAsia="黑体"/>
          <w:b w:val="0"/>
          <w:spacing w:val="-4"/>
          <w:sz w:val="32"/>
          <w:szCs w:val="32"/>
        </w:rPr>
      </w:pPr>
      <w:r>
        <w:rPr>
          <w:rStyle w:val="21"/>
          <w:rFonts w:hint="eastAsia" w:ascii="黑体" w:hAnsi="黑体" w:eastAsia="黑体"/>
          <w:b w:val="0"/>
          <w:spacing w:val="-4"/>
          <w:sz w:val="32"/>
          <w:szCs w:val="32"/>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21"/>
          <w:rFonts w:ascii="楷体" w:hAnsi="楷体" w:eastAsia="楷体"/>
          <w:spacing w:val="-4"/>
          <w:sz w:val="32"/>
          <w:szCs w:val="32"/>
        </w:rPr>
      </w:pPr>
      <w:r>
        <w:rPr>
          <w:rStyle w:val="21"/>
          <w:rFonts w:hint="eastAsia" w:ascii="楷体" w:hAnsi="楷体" w:eastAsia="楷体"/>
          <w:spacing w:val="-4"/>
          <w:sz w:val="32"/>
          <w:szCs w:val="32"/>
        </w:rPr>
        <w:t>（一）项目概况。包括项目背景、主要内容及实施情况、资金投入和使用情况等。</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1、项目背景</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rPr>
      </w:pPr>
      <w:r>
        <w:rPr>
          <w:rStyle w:val="21"/>
          <w:rFonts w:hint="eastAsia" w:ascii="仿宋_GB2312" w:hAnsi="楷体" w:eastAsia="仿宋_GB2312"/>
          <w:b w:val="0"/>
          <w:spacing w:val="-4"/>
          <w:sz w:val="32"/>
          <w:szCs w:val="32"/>
        </w:rPr>
        <w:t>信访工作是党和政府工作的重要组成部分，是党和政府联系群众的桥梁和纽带，是发扬民主、体察民情、接受群众监督的重要渠道，是人民群众反映合理诉求、维护自身权益的重要途径，是构建社会主义和谐社会的基础之一。加强信访信息化建设对于进一步做好信访工作、拓宽社情民意表达方式、畅通信访工作渠道、最大限度减少和消除不和谐因素、提高信访工作效率都有着十分重大的意义。</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rPr>
      </w:pPr>
      <w:r>
        <w:rPr>
          <w:rStyle w:val="21"/>
          <w:rFonts w:hint="eastAsia" w:ascii="仿宋_GB2312" w:hAnsi="楷体" w:eastAsia="仿宋_GB2312"/>
          <w:b w:val="0"/>
          <w:spacing w:val="-4"/>
          <w:sz w:val="32"/>
          <w:szCs w:val="32"/>
        </w:rPr>
        <w:t>自治区人民群众信访服务中心位于天山区跃进街1180号，于2018年9月由原乌鲁木齐市天山区棚户区改造领导小组办公楼改造建成，占地面积1800平方米，建筑面积2682平方米，总投资3148万元。由于自治区人民群众信访服务中心属原老旧楼房改造工程，加之建设期间资金紧张，虽然乌鲁木齐市给予了大力支持，但是院落内环境差、基础设施不完善，特别停车场小、大门进出口混用、院内大土丘堆积，等等。随着全区信访秩序的持续改善，群众来信访服务中心反映诉求越来越多，信访群众停车难、基础设施不完善、院落环境卫生差等问题日益凸显，与创建“人民满意窗口”、打造优美服务中心的要求仍有不少差距。</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rPr>
      </w:pPr>
      <w:r>
        <w:rPr>
          <w:rStyle w:val="21"/>
          <w:rFonts w:hint="eastAsia" w:ascii="仿宋_GB2312" w:hAnsi="楷体" w:eastAsia="仿宋_GB2312"/>
          <w:b w:val="0"/>
          <w:spacing w:val="-4"/>
          <w:sz w:val="32"/>
          <w:szCs w:val="32"/>
        </w:rPr>
        <w:t>实施情况</w:t>
      </w:r>
      <w:r>
        <w:rPr>
          <w:rStyle w:val="21"/>
          <w:rFonts w:hint="eastAsia" w:ascii="仿宋_GB2312" w:hAnsi="楷体" w:eastAsia="仿宋_GB2312"/>
          <w:b w:val="0"/>
          <w:spacing w:val="-4"/>
          <w:sz w:val="32"/>
          <w:szCs w:val="32"/>
          <w:lang w:eastAsia="zh-CN"/>
        </w:rPr>
        <w:t>：根据自治区机关事务管理局《</w:t>
      </w:r>
      <w:r>
        <w:rPr>
          <w:rStyle w:val="21"/>
          <w:rFonts w:hint="eastAsia" w:ascii="仿宋_GB2312" w:hAnsi="楷体" w:eastAsia="仿宋_GB2312"/>
          <w:b w:val="0"/>
          <w:spacing w:val="-4"/>
          <w:sz w:val="32"/>
          <w:szCs w:val="32"/>
        </w:rPr>
        <w:t>关于同意自治区信访局办公用房维修改造项目立项的复函</w:t>
      </w:r>
      <w:r>
        <w:rPr>
          <w:rStyle w:val="21"/>
          <w:rFonts w:hint="eastAsia" w:ascii="仿宋_GB2312" w:hAnsi="楷体" w:eastAsia="仿宋_GB2312"/>
          <w:b w:val="0"/>
          <w:spacing w:val="-4"/>
          <w:sz w:val="32"/>
          <w:szCs w:val="32"/>
          <w:lang w:val="en-US" w:eastAsia="zh-CN"/>
        </w:rPr>
        <w:t>》（</w:t>
      </w:r>
      <w:r>
        <w:rPr>
          <w:rStyle w:val="21"/>
          <w:rFonts w:hint="eastAsia" w:ascii="仿宋_GB2312" w:hAnsi="楷体" w:eastAsia="仿宋_GB2312"/>
          <w:b w:val="0"/>
          <w:spacing w:val="-4"/>
          <w:sz w:val="32"/>
          <w:szCs w:val="32"/>
        </w:rPr>
        <w:t>新管房地〔2022〕23号</w:t>
      </w:r>
      <w:r>
        <w:rPr>
          <w:rStyle w:val="21"/>
          <w:rFonts w:hint="eastAsia" w:ascii="仿宋_GB2312" w:hAnsi="楷体" w:eastAsia="仿宋_GB2312"/>
          <w:b w:val="0"/>
          <w:spacing w:val="-4"/>
          <w:sz w:val="32"/>
          <w:szCs w:val="32"/>
          <w:lang w:val="en-US" w:eastAsia="zh-CN"/>
        </w:rPr>
        <w:t>）要求，</w:t>
      </w:r>
      <w:r>
        <w:rPr>
          <w:rStyle w:val="21"/>
          <w:rFonts w:hint="eastAsia" w:ascii="仿宋_GB2312" w:hAnsi="楷体" w:eastAsia="仿宋_GB2312"/>
          <w:b w:val="0"/>
          <w:spacing w:val="-4"/>
          <w:sz w:val="32"/>
          <w:szCs w:val="32"/>
        </w:rPr>
        <w:t>为消除安全隐患，节约能源资源，恢复使用功能，满足办公需求，同意对自治区人民群众信访服务中心院落进行维修改造。原则同意维修改造项目方案，改造范围为自治区人民群众信访服务中心院落，维修改造面积1800平方米。核定维修改造内容：院内大土丘（叶岩及混凝土高台）免爆拆除、围墙拆除、大门拆除、外墙保温更换、排水系统改造等。项目总投资按143万元控制，资金按财政预算管理规定执行。</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cs="Times New Roman"/>
          <w:b w:val="0"/>
          <w:spacing w:val="-4"/>
          <w:kern w:val="2"/>
          <w:sz w:val="32"/>
          <w:szCs w:val="32"/>
          <w:lang w:val="en-US" w:eastAsia="zh-CN" w:bidi="ar-SA"/>
        </w:rPr>
      </w:pPr>
      <w:r>
        <w:rPr>
          <w:rStyle w:val="21"/>
          <w:rFonts w:hint="eastAsia" w:ascii="仿宋_GB2312" w:hAnsi="楷体" w:eastAsia="仿宋_GB2312"/>
          <w:b w:val="0"/>
          <w:spacing w:val="-4"/>
          <w:sz w:val="32"/>
          <w:szCs w:val="32"/>
          <w:lang w:eastAsia="zh-CN"/>
        </w:rPr>
        <w:t>2023年6月，自治区财政厅拨付</w:t>
      </w:r>
      <w:r>
        <w:rPr>
          <w:rStyle w:val="21"/>
          <w:rFonts w:hint="eastAsia" w:ascii="仿宋_GB2312" w:hAnsi="楷体" w:eastAsia="仿宋_GB2312"/>
          <w:b w:val="0"/>
          <w:spacing w:val="-4"/>
          <w:sz w:val="32"/>
          <w:szCs w:val="32"/>
        </w:rPr>
        <w:t>信访局办公用房维修改造项目</w:t>
      </w:r>
      <w:r>
        <w:rPr>
          <w:rStyle w:val="21"/>
          <w:rFonts w:hint="eastAsia" w:ascii="仿宋_GB2312" w:hAnsi="楷体" w:eastAsia="仿宋_GB2312"/>
          <w:b w:val="0"/>
          <w:spacing w:val="-4"/>
          <w:sz w:val="32"/>
          <w:szCs w:val="32"/>
          <w:lang w:eastAsia="zh-CN"/>
        </w:rPr>
        <w:t>经费143万元。</w:t>
      </w:r>
      <w:r>
        <w:rPr>
          <w:rStyle w:val="21"/>
          <w:rFonts w:hint="eastAsia" w:ascii="仿宋_GB2312" w:hAnsi="楷体" w:eastAsia="仿宋_GB2312"/>
          <w:b w:val="0"/>
          <w:spacing w:val="-4"/>
          <w:sz w:val="32"/>
          <w:szCs w:val="32"/>
          <w:lang w:val="en-US" w:eastAsia="zh-CN"/>
        </w:rPr>
        <w:t>按照《自治区信访局财务管理办法》及局党组会议制度执</w:t>
      </w:r>
      <w:r>
        <w:rPr>
          <w:rStyle w:val="21"/>
          <w:rFonts w:hint="eastAsia" w:ascii="仿宋_GB2312" w:hAnsi="楷体" w:eastAsia="仿宋_GB2312" w:cs="Times New Roman"/>
          <w:b w:val="0"/>
          <w:spacing w:val="-4"/>
          <w:kern w:val="2"/>
          <w:sz w:val="32"/>
          <w:szCs w:val="32"/>
          <w:lang w:val="en-US" w:eastAsia="zh-CN" w:bidi="ar-SA"/>
        </w:rPr>
        <w:t xml:space="preserve">行，严格落实“三重一大”事项管理规定，涉及经费使用的，均按程序报请驻政法委纪检组派员列席会议，集体讨论，逐一表态通过。切实做到“花钱必问效、无效必问责”。在实施过程中，按照“有多少钱、办多少事”的原则管理使用项目资金，严格控制审批、支付流程，不断健全预算管理体系，提升预算管理水平，确保各项工作的正常开展和运行。 </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cs="Times New Roman"/>
          <w:b w:val="0"/>
          <w:spacing w:val="-4"/>
          <w:kern w:val="2"/>
          <w:sz w:val="32"/>
          <w:szCs w:val="32"/>
          <w:lang w:val="en-US" w:eastAsia="zh-CN" w:bidi="ar-SA"/>
        </w:rPr>
      </w:pPr>
      <w:r>
        <w:rPr>
          <w:rStyle w:val="21"/>
          <w:rFonts w:hint="eastAsia" w:ascii="仿宋_GB2312" w:hAnsi="楷体" w:eastAsia="仿宋_GB2312" w:cs="Times New Roman"/>
          <w:b w:val="0"/>
          <w:spacing w:val="-4"/>
          <w:kern w:val="2"/>
          <w:sz w:val="32"/>
          <w:szCs w:val="32"/>
          <w:lang w:val="en-US" w:eastAsia="zh-CN" w:bidi="ar-SA"/>
        </w:rPr>
        <w:t xml:space="preserve"> 资金投入和使用情况：该项目资金投入143万元，资金来源为一般公共预算拨款；全年项目支出143万元，预算完成率100%。</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Style w:val="21"/>
          <w:rFonts w:ascii="楷体" w:hAnsi="楷体" w:eastAsia="楷体"/>
          <w:spacing w:val="-4"/>
          <w:sz w:val="32"/>
          <w:szCs w:val="32"/>
        </w:rPr>
      </w:pPr>
      <w:r>
        <w:rPr>
          <w:rStyle w:val="21"/>
          <w:rFonts w:hint="eastAsia" w:ascii="楷体" w:hAnsi="楷体" w:eastAsia="楷体"/>
          <w:spacing w:val="-4"/>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rPr>
      </w:pPr>
      <w:r>
        <w:rPr>
          <w:rStyle w:val="21"/>
          <w:rFonts w:hint="eastAsia" w:ascii="仿宋_GB2312" w:hAnsi="楷体" w:eastAsia="仿宋_GB2312"/>
          <w:b w:val="0"/>
          <w:spacing w:val="-4"/>
          <w:sz w:val="32"/>
          <w:szCs w:val="32"/>
        </w:rPr>
        <w:t>1、总体目标：为</w:t>
      </w:r>
      <w:r>
        <w:rPr>
          <w:rStyle w:val="21"/>
          <w:rFonts w:hint="eastAsia" w:ascii="仿宋_GB2312" w:hAnsi="楷体" w:eastAsia="仿宋_GB2312"/>
          <w:b w:val="0"/>
          <w:spacing w:val="-4"/>
          <w:sz w:val="32"/>
          <w:szCs w:val="32"/>
          <w:lang w:eastAsia="zh-CN"/>
        </w:rPr>
        <w:t>更好的</w:t>
      </w:r>
      <w:r>
        <w:rPr>
          <w:rStyle w:val="21"/>
          <w:rFonts w:hint="eastAsia" w:ascii="仿宋_GB2312" w:hAnsi="楷体" w:eastAsia="仿宋_GB2312"/>
          <w:b w:val="0"/>
          <w:spacing w:val="-4"/>
          <w:sz w:val="32"/>
          <w:szCs w:val="32"/>
        </w:rPr>
        <w:t>贯彻落实中央关于信访工作决策部署，健全完善联合接访模式，按照方便群众、布局合理、功能完善、环境友好的要求，全面开展联合接防，实现信访工作“一站式接访，一条龙办理，一揽子解决”，力争把群众反映诉求解决，使信访部门真正成为解决信访问题的“终点站”和化解矛盾的“稳压阀”。</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21"/>
          <w:rFonts w:hint="eastAsia" w:ascii="仿宋_GB2312" w:hAnsi="楷体" w:eastAsia="仿宋_GB2312" w:cs="Times New Roman"/>
          <w:b w:val="0"/>
          <w:spacing w:val="-4"/>
          <w:kern w:val="2"/>
          <w:sz w:val="32"/>
          <w:szCs w:val="32"/>
          <w:lang w:val="en-US" w:eastAsia="zh-CN" w:bidi="ar-SA"/>
        </w:rPr>
      </w:pPr>
      <w:r>
        <w:rPr>
          <w:rStyle w:val="21"/>
          <w:rFonts w:hint="eastAsia" w:ascii="仿宋_GB2312" w:hAnsi="楷体" w:eastAsia="仿宋_GB2312"/>
          <w:b w:val="0"/>
          <w:spacing w:val="-4"/>
          <w:sz w:val="32"/>
          <w:szCs w:val="32"/>
        </w:rPr>
        <w:t>2、阶段性目标：</w:t>
      </w:r>
      <w:r>
        <w:rPr>
          <w:rStyle w:val="21"/>
          <w:rFonts w:hint="eastAsia" w:ascii="仿宋_GB2312" w:hAnsi="楷体" w:eastAsia="仿宋_GB2312"/>
          <w:b w:val="0"/>
          <w:spacing w:val="-4"/>
          <w:sz w:val="32"/>
          <w:szCs w:val="32"/>
          <w:lang w:eastAsia="zh-CN"/>
        </w:rPr>
        <w:t>有效的改善了接访条件，解决了</w:t>
      </w:r>
      <w:r>
        <w:rPr>
          <w:rStyle w:val="21"/>
          <w:rFonts w:hint="eastAsia" w:ascii="仿宋_GB2312" w:hAnsi="楷体" w:eastAsia="仿宋_GB2312"/>
          <w:b w:val="0"/>
          <w:spacing w:val="-4"/>
          <w:sz w:val="32"/>
          <w:szCs w:val="32"/>
        </w:rPr>
        <w:t>信访群众停车难、基础设施不完善、院落环境卫生差等问题，群众</w:t>
      </w:r>
      <w:r>
        <w:rPr>
          <w:rStyle w:val="21"/>
          <w:rFonts w:hint="eastAsia" w:ascii="仿宋_GB2312" w:hAnsi="楷体" w:eastAsia="仿宋_GB2312"/>
          <w:b w:val="0"/>
          <w:spacing w:val="-4"/>
          <w:sz w:val="32"/>
          <w:szCs w:val="32"/>
          <w:lang w:eastAsia="zh-CN"/>
        </w:rPr>
        <w:t>对接访环境表示满意</w:t>
      </w:r>
      <w:r>
        <w:rPr>
          <w:rStyle w:val="21"/>
          <w:rFonts w:hint="eastAsia" w:ascii="仿宋_GB2312" w:hAnsi="楷体" w:eastAsia="仿宋_GB2312"/>
          <w:b w:val="0"/>
          <w:spacing w:val="-4"/>
          <w:sz w:val="32"/>
          <w:szCs w:val="32"/>
        </w:rPr>
        <w:t>，与创建“人民满意窗口”、打造优美服务中心的要求</w:t>
      </w:r>
      <w:r>
        <w:rPr>
          <w:rStyle w:val="21"/>
          <w:rFonts w:hint="eastAsia" w:ascii="仿宋_GB2312" w:hAnsi="楷体" w:eastAsia="仿宋_GB2312"/>
          <w:b w:val="0"/>
          <w:spacing w:val="-4"/>
          <w:sz w:val="32"/>
          <w:szCs w:val="32"/>
          <w:lang w:eastAsia="zh-CN"/>
        </w:rPr>
        <w:t>，</w:t>
      </w:r>
      <w:r>
        <w:rPr>
          <w:rStyle w:val="21"/>
          <w:rFonts w:hint="eastAsia" w:ascii="仿宋_GB2312" w:hAnsi="楷体" w:eastAsia="仿宋_GB2312"/>
          <w:b w:val="0"/>
          <w:spacing w:val="-4"/>
          <w:sz w:val="32"/>
          <w:szCs w:val="32"/>
        </w:rPr>
        <w:t>差距</w:t>
      </w:r>
      <w:r>
        <w:rPr>
          <w:rStyle w:val="21"/>
          <w:rFonts w:hint="eastAsia" w:ascii="仿宋_GB2312" w:hAnsi="楷体" w:eastAsia="仿宋_GB2312"/>
          <w:b w:val="0"/>
          <w:spacing w:val="-4"/>
          <w:sz w:val="32"/>
          <w:szCs w:val="32"/>
          <w:lang w:eastAsia="zh-CN"/>
        </w:rPr>
        <w:t>逐渐缩小</w:t>
      </w:r>
      <w:r>
        <w:rPr>
          <w:rStyle w:val="21"/>
          <w:rFonts w:hint="eastAsia" w:ascii="仿宋_GB2312" w:hAnsi="楷体" w:eastAsia="仿宋_GB2312"/>
          <w:b w:val="0"/>
          <w:spacing w:val="-4"/>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21"/>
          <w:rFonts w:ascii="黑体" w:hAnsi="黑体" w:eastAsia="黑体"/>
          <w:b w:val="0"/>
          <w:spacing w:val="-4"/>
          <w:sz w:val="32"/>
          <w:szCs w:val="32"/>
        </w:rPr>
      </w:pPr>
      <w:r>
        <w:rPr>
          <w:rStyle w:val="21"/>
          <w:rFonts w:hint="eastAsia" w:ascii="黑体" w:hAnsi="黑体" w:eastAsia="黑体"/>
          <w:b w:val="0"/>
          <w:spacing w:val="-4"/>
          <w:sz w:val="32"/>
          <w:szCs w:val="32"/>
        </w:rPr>
        <w:t>二、</w:t>
      </w:r>
      <w:r>
        <w:rPr>
          <w:rStyle w:val="21"/>
          <w:rFonts w:hint="eastAsia"/>
          <w:spacing w:val="-4"/>
          <w:sz w:val="32"/>
          <w:szCs w:val="32"/>
        </w:rPr>
        <w:t>绩效评价工作开展情况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Style w:val="21"/>
          <w:rFonts w:ascii="楷体" w:hAnsi="楷体" w:eastAsia="楷体"/>
          <w:spacing w:val="-4"/>
          <w:sz w:val="32"/>
          <w:szCs w:val="32"/>
        </w:rPr>
      </w:pPr>
      <w:r>
        <w:rPr>
          <w:rStyle w:val="21"/>
          <w:rFonts w:hint="eastAsia" w:ascii="楷体" w:hAnsi="楷体" w:eastAsia="楷体"/>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1、绩效评价目的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通过绩效评价，客观地评判项目的管理绩效，了解和掌握</w:t>
      </w:r>
      <w:r>
        <w:rPr>
          <w:rFonts w:hint="eastAsia" w:ascii="仿宋_GB2312" w:hAnsi="仿宋" w:eastAsia="仿宋_GB2312"/>
          <w:sz w:val="32"/>
          <w:szCs w:val="32"/>
          <w:lang w:eastAsia="zh-CN"/>
        </w:rPr>
        <w:t>自治区信访业务智能辅助系统建设一期项目</w:t>
      </w:r>
      <w:r>
        <w:rPr>
          <w:rStyle w:val="21"/>
          <w:rFonts w:hint="eastAsia" w:ascii="仿宋_GB2312" w:hAnsi="楷体" w:eastAsia="仿宋_GB2312"/>
          <w:b w:val="0"/>
          <w:spacing w:val="-4"/>
          <w:sz w:val="32"/>
          <w:szCs w:val="32"/>
        </w:rPr>
        <w:t>资金的具体情况，评价项目资金安排的科学性、合理性、规范性和资金的使用成效，及时总结项目管理经验，完善项目管理办法，提高项目管理水平和资金使用效益。根据绩效评价中发现的问题，认真加以整改，及时调整和完善单位的工作计划和绩效目标并加强项目管理，提高管理水平，同时为项目后续资金投入、分配和管理提供决策依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2、绩效评价对象</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绩效评价的对象主要是</w:t>
      </w:r>
      <w:r>
        <w:rPr>
          <w:rStyle w:val="21"/>
          <w:rFonts w:hint="eastAsia" w:ascii="仿宋_GB2312" w:hAnsi="楷体" w:eastAsia="仿宋_GB2312"/>
          <w:b w:val="0"/>
          <w:spacing w:val="-4"/>
          <w:sz w:val="32"/>
          <w:szCs w:val="32"/>
          <w:lang w:eastAsia="zh-CN"/>
        </w:rPr>
        <w:t>全疆信访业务工作者</w:t>
      </w:r>
      <w:r>
        <w:rPr>
          <w:rStyle w:val="21"/>
          <w:rFonts w:hint="eastAsia" w:ascii="仿宋_GB2312" w:hAnsi="楷体" w:eastAsia="仿宋_GB2312"/>
          <w:b w:val="0"/>
          <w:spacing w:val="-4"/>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3、绩效评价范围</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本次评价从项目决策（包括绩效目标、决策过程）、项目管理（包括项目资金、项目实施）、项目产出（包括项目产出数量、产出质量、产出时效和产出成本）项目效益四个维度进行评价，评价核心为专项资金的支出完成情况和效果，包括用户数量、 矛盾化解率、隐患消除情况</w:t>
      </w:r>
      <w:r>
        <w:rPr>
          <w:rStyle w:val="21"/>
          <w:rFonts w:hint="eastAsia" w:ascii="仿宋_GB2312" w:hAnsi="楷体" w:eastAsia="仿宋_GB2312"/>
          <w:b w:val="0"/>
          <w:spacing w:val="-4"/>
          <w:sz w:val="32"/>
          <w:szCs w:val="32"/>
          <w:lang w:eastAsia="zh-CN"/>
        </w:rPr>
        <w:t>、</w:t>
      </w:r>
      <w:r>
        <w:rPr>
          <w:rStyle w:val="21"/>
          <w:rFonts w:hint="eastAsia" w:ascii="仿宋_GB2312" w:hAnsi="楷体" w:eastAsia="仿宋_GB2312"/>
          <w:b w:val="0"/>
          <w:spacing w:val="-4"/>
          <w:sz w:val="32"/>
          <w:szCs w:val="32"/>
        </w:rPr>
        <w:t>业务水平提升率</w:t>
      </w:r>
      <w:r>
        <w:rPr>
          <w:rStyle w:val="21"/>
          <w:rFonts w:hint="eastAsia" w:ascii="仿宋_GB2312" w:hAnsi="楷体" w:eastAsia="仿宋_GB2312"/>
          <w:b w:val="0"/>
          <w:spacing w:val="-4"/>
          <w:sz w:val="32"/>
          <w:szCs w:val="32"/>
          <w:lang w:eastAsia="zh-CN"/>
        </w:rPr>
        <w:t>和信访干部满意度</w:t>
      </w:r>
      <w:r>
        <w:rPr>
          <w:rStyle w:val="21"/>
          <w:rFonts w:hint="eastAsia" w:ascii="仿宋_GB2312" w:hAnsi="楷体" w:eastAsia="仿宋_GB2312"/>
          <w:b w:val="0"/>
          <w:spacing w:val="-4"/>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Style w:val="21"/>
          <w:rFonts w:ascii="楷体" w:hAnsi="楷体" w:eastAsia="楷体"/>
          <w:spacing w:val="-4"/>
          <w:sz w:val="32"/>
          <w:szCs w:val="32"/>
        </w:rPr>
      </w:pPr>
      <w:r>
        <w:rPr>
          <w:rStyle w:val="21"/>
          <w:rFonts w:hint="eastAsia" w:ascii="楷体" w:hAnsi="楷体" w:eastAsia="楷体"/>
          <w:spacing w:val="-4"/>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1、绩效评价原则</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（一）科学公正。绩效评价应当运用科学合理的方法，按照规范的程序，对项目绩效进行客观、公正的反映。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（二）统筹兼顾。单位自评、部门评价和财政评价应职责明确，各有侧重，相互衔接。单位自评应由项目单位自主实施，即“谁支出、谁自评”。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（三）激励约束。绩效评价结果应与预算安排、政策调整、改进管理实质性挂钩，体现奖优罚劣和激励相容导向，有效要安排、低效要压减、无效要问责。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rPr>
      </w:pPr>
      <w:r>
        <w:rPr>
          <w:rStyle w:val="21"/>
          <w:rFonts w:hint="eastAsia" w:ascii="仿宋_GB2312" w:hAnsi="楷体" w:eastAsia="仿宋_GB2312"/>
          <w:b w:val="0"/>
          <w:spacing w:val="-4"/>
          <w:sz w:val="32"/>
          <w:szCs w:val="32"/>
        </w:rPr>
        <w:t>（四）公开透明。绩效评价结果应依法依规公开，并自觉接受社会监督。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rPr>
      </w:pPr>
      <w:r>
        <w:rPr>
          <w:rStyle w:val="21"/>
          <w:rFonts w:hint="eastAsia" w:ascii="仿宋_GB2312" w:hAnsi="楷体" w:eastAsia="仿宋_GB2312"/>
          <w:b w:val="0"/>
          <w:spacing w:val="-4"/>
          <w:sz w:val="32"/>
          <w:szCs w:val="32"/>
        </w:rPr>
        <w:t>2、评价指标体系</w:t>
      </w:r>
    </w:p>
    <w:tbl>
      <w:tblPr>
        <w:tblStyle w:val="19"/>
        <w:tblW w:w="88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43"/>
        <w:gridCol w:w="1019"/>
        <w:gridCol w:w="1278"/>
        <w:gridCol w:w="1155"/>
        <w:gridCol w:w="1095"/>
        <w:gridCol w:w="930"/>
        <w:gridCol w:w="735"/>
        <w:gridCol w:w="915"/>
        <w:gridCol w:w="7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875" w:type="dxa"/>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875" w:type="dxa"/>
            <w:gridSpan w:val="9"/>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预算单位</w:t>
            </w:r>
          </w:p>
        </w:tc>
        <w:tc>
          <w:tcPr>
            <w:tcW w:w="681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自治区信访局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35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自治区信访局办公用房维修改造项目资金</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项目负责人</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吴光辉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2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项目资金（万元）</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年度预算总额：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w:t>
            </w:r>
          </w:p>
        </w:tc>
        <w:tc>
          <w:tcPr>
            <w:tcW w:w="109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2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项目总体目标</w:t>
            </w:r>
          </w:p>
        </w:tc>
        <w:tc>
          <w:tcPr>
            <w:tcW w:w="6813" w:type="dxa"/>
            <w:gridSpan w:val="7"/>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随着全区信访秩序的持续改善，群众来信访服务中心反映诉求越来越多，信访群众停车难、基础设施不完善、院落环境卫生差等问题日益凸显，与创建“人民满意窗口”、打造优美服务中心的要求仍有不少差距。根据《关于同意自治区信访局办公用房维修改造项目立项的复函》（新管房地[2022）23号）要求，自治区信访局按照维修项目改造方案，完成院内土丘拆除、大门拆除、外墙保温更换、排水系统改造等，项目总投资按143万元控制，预计年内完成改造通过验收并投入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指标值设置依据</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上年完成值</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指标分值权重</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指标赋分规则</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101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维修改造面积</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东文宋体" w:hAnsi="东文宋体" w:eastAsia="东文宋体" w:cs="东文宋体"/>
                <w:i w:val="0"/>
                <w:iCs w:val="0"/>
                <w:color w:val="000000"/>
                <w:sz w:val="18"/>
                <w:szCs w:val="18"/>
                <w:u w:val="none"/>
              </w:rPr>
            </w:pPr>
            <w:r>
              <w:rPr>
                <w:rFonts w:hint="default" w:ascii="东文宋体" w:hAnsi="东文宋体" w:eastAsia="东文宋体" w:cs="东文宋体"/>
                <w:i w:val="0"/>
                <w:iCs w:val="0"/>
                <w:color w:val="000000"/>
                <w:kern w:val="0"/>
                <w:sz w:val="18"/>
                <w:szCs w:val="18"/>
                <w:u w:val="none"/>
                <w:lang w:val="en-US" w:eastAsia="zh-CN" w:bidi="ar"/>
              </w:rPr>
              <w:t>&lt;=1800平方米</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合格</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接访中心院落环境整洁率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维修改造完成期限</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2023年9月底前</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01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项目总投资</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&lt;=143万元</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043"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项目效益</w:t>
            </w:r>
          </w:p>
        </w:tc>
        <w:tc>
          <w:tcPr>
            <w:tcW w:w="101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提升接访中心公共服务水平</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043"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院落正常使用年限</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&gt;=10年</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2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上访群众满意率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r>
    </w:tbl>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3、评价方法</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rPr>
      </w:pPr>
      <w:r>
        <w:rPr>
          <w:rStyle w:val="21"/>
          <w:rFonts w:hint="eastAsia" w:ascii="仿宋_GB2312" w:hAnsi="楷体" w:eastAsia="仿宋_GB2312"/>
          <w:b w:val="0"/>
          <w:spacing w:val="-4"/>
          <w:sz w:val="32"/>
          <w:szCs w:val="32"/>
        </w:rPr>
        <w:t>因素分析法。通过分析家评审意见、监理反馈、验收意见才能更准确、有效地对项目进行评估和整改，并最大限度的提高项目的可用性。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4、评价标准</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rPr>
      </w:pPr>
      <w:r>
        <w:rPr>
          <w:rStyle w:val="21"/>
          <w:rFonts w:hint="eastAsia" w:ascii="仿宋_GB2312" w:hAnsi="楷体" w:eastAsia="仿宋_GB2312"/>
          <w:b w:val="0"/>
          <w:spacing w:val="-4"/>
          <w:sz w:val="32"/>
          <w:szCs w:val="32"/>
        </w:rPr>
        <w:t>认真贯彻落实自治区党委、人民政府“厉行节约、过紧日子”工作要求，严格执行《党政机关办公用房建设标准》</w:t>
      </w:r>
      <w:r>
        <w:rPr>
          <w:rStyle w:val="21"/>
          <w:rFonts w:hint="eastAsia" w:ascii="仿宋_GB2312" w:hAnsi="楷体" w:eastAsia="仿宋_GB2312"/>
          <w:b w:val="0"/>
          <w:spacing w:val="-4"/>
          <w:sz w:val="32"/>
          <w:szCs w:val="32"/>
        </w:rPr>
        <w:pict>
          <v:shape id="_x0000_s1026" o:spid="_x0000_s1026" o:spt="202" type="#_x0000_t202" style="position:absolute;left:0pt;margin-left:53pt;margin-top:59pt;height:3pt;width:489pt;mso-position-horizontal-relative:page;z-index:251659264;mso-width-relative:page;mso-height-relative:page;" filled="f" stroked="f" coordsize="21600,21600" o:gfxdata="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zN7iL1gAAAAwBAAAPAAAAAAAAAAEA&#10;IAAAACIAAABkcnMvZG93bnJldi54bWxQSwECFAAUAAAACACHTuJAVED6+NgBAACeAwAADgAAAAAA&#10;AAABACAAAAAlAQAAZHJzL2Uyb0RvYy54bWxQSwUGAAAAAAYABgBZAQAAbwUAAAAA&#10;">
            <v:path/>
            <v:fill on="f" focussize="0,0"/>
            <v:stroke on="f" weight="0.5pt"/>
            <v:imagedata o:title=""/>
            <o:lock v:ext="edit" aspectratio="f"/>
            <v:textbox inset="2pt,0mm,2pt,0mm">
              <w:txbxContent>
                <w:p>
                  <w:pPr>
                    <w:spacing w:line="480" w:lineRule="exact"/>
                    <w:ind w:left="320" w:firstLine="640"/>
                    <w:jc w:val="both"/>
                  </w:pPr>
                  <w:r>
                    <w:pict>
                      <v:rect id="_x0000_i1025" o:spt="1" style="height:1.5pt;width:487pt;" fillcolor="#000000" filled="t" stroked="f" coordsize="21600,21600" o:hr="t" o:hrstd="t" o:hrnoshade="t" o:hrpct="0" o:hralign="center">
                        <v:path/>
                        <v:fill on="t" focussize="0,0"/>
                        <v:stroke on="f"/>
                        <v:imagedata o:title=""/>
                        <o:lock v:ext="edit"/>
                        <w10:wrap type="none"/>
                        <w10:anchorlock/>
                      </v:rect>
                    </w:pict>
                  </w:r>
                </w:p>
              </w:txbxContent>
            </v:textbox>
          </v:shape>
        </w:pict>
      </w:r>
      <w:r>
        <w:rPr>
          <w:rStyle w:val="21"/>
          <w:rFonts w:hint="eastAsia" w:ascii="仿宋_GB2312" w:hAnsi="楷体" w:eastAsia="仿宋_GB2312"/>
          <w:b w:val="0"/>
          <w:spacing w:val="-4"/>
          <w:sz w:val="32"/>
          <w:szCs w:val="32"/>
          <w:lang w:eastAsia="zh-CN"/>
        </w:rPr>
        <w:t>、</w:t>
      </w:r>
      <w:r>
        <w:rPr>
          <w:rStyle w:val="21"/>
          <w:rFonts w:hint="eastAsia" w:ascii="仿宋_GB2312" w:hAnsi="楷体" w:eastAsia="仿宋_GB2312"/>
          <w:b w:val="0"/>
          <w:spacing w:val="-4"/>
          <w:sz w:val="32"/>
          <w:szCs w:val="32"/>
        </w:rPr>
        <w:t>《新疆维吾尔自治区党政机关办公用房管理办法》和《新疆维吾尔自治区本级党政机关办公用房维修规范》等相关规定，按照</w:t>
      </w:r>
      <w:r>
        <w:rPr>
          <w:rStyle w:val="21"/>
          <w:rFonts w:hint="eastAsia" w:ascii="仿宋_GB2312" w:hAnsi="楷体" w:eastAsia="仿宋_GB2312"/>
          <w:b w:val="0"/>
          <w:spacing w:val="-4"/>
          <w:sz w:val="32"/>
          <w:szCs w:val="32"/>
          <w:lang w:eastAsia="zh-CN"/>
        </w:rPr>
        <w:t>相关</w:t>
      </w:r>
      <w:r>
        <w:rPr>
          <w:rStyle w:val="21"/>
          <w:rFonts w:hint="eastAsia" w:ascii="仿宋_GB2312" w:hAnsi="楷体" w:eastAsia="仿宋_GB2312"/>
          <w:b w:val="0"/>
          <w:spacing w:val="-4"/>
          <w:sz w:val="32"/>
          <w:szCs w:val="32"/>
        </w:rPr>
        <w:t>要求组织实施。严格控制维修改造项目建设内容和规模，严禁超标准、超范围维修改造，并确保工程质量和施工安全。项目建设完成后，由自治区信访局按照项目验收程序组织开展对项目的验收。</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Style w:val="21"/>
          <w:rFonts w:ascii="楷体" w:hAnsi="楷体" w:eastAsia="楷体"/>
          <w:spacing w:val="-4"/>
          <w:sz w:val="32"/>
          <w:szCs w:val="32"/>
        </w:rPr>
      </w:pPr>
      <w:r>
        <w:rPr>
          <w:rStyle w:val="21"/>
          <w:rFonts w:hint="eastAsia" w:ascii="楷体" w:hAnsi="楷体" w:eastAsia="楷体"/>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自治区信访局成立了部门绩效评价小组，结合</w:t>
      </w:r>
      <w:r>
        <w:rPr>
          <w:rStyle w:val="21"/>
          <w:rFonts w:hint="eastAsia" w:ascii="仿宋_GB2312" w:hAnsi="楷体" w:eastAsia="仿宋_GB2312"/>
          <w:b w:val="0"/>
          <w:spacing w:val="-4"/>
          <w:sz w:val="32"/>
          <w:szCs w:val="32"/>
          <w:lang w:eastAsia="zh-CN"/>
        </w:rPr>
        <w:t>信访</w:t>
      </w:r>
      <w:r>
        <w:rPr>
          <w:rStyle w:val="21"/>
          <w:rFonts w:hint="eastAsia" w:ascii="仿宋_GB2312" w:hAnsi="楷体" w:eastAsia="仿宋_GB2312"/>
          <w:b w:val="0"/>
          <w:spacing w:val="-4"/>
          <w:sz w:val="32"/>
          <w:szCs w:val="32"/>
        </w:rPr>
        <w:t>工作实际，紧紧围绕绩效管理工作要点，不断提升绩效管理工作质量。一是增强认识，夯实基础。</w:t>
      </w:r>
      <w:r>
        <w:rPr>
          <w:rStyle w:val="21"/>
          <w:rFonts w:hint="eastAsia" w:ascii="仿宋_GB2312" w:hAnsi="楷体" w:eastAsia="仿宋_GB2312"/>
          <w:b w:val="0"/>
          <w:spacing w:val="-4"/>
          <w:sz w:val="32"/>
          <w:szCs w:val="32"/>
          <w:lang w:eastAsia="zh-CN"/>
        </w:rPr>
        <w:t>处</w:t>
      </w:r>
      <w:r>
        <w:rPr>
          <w:rStyle w:val="21"/>
          <w:rFonts w:hint="eastAsia" w:ascii="仿宋_GB2312" w:hAnsi="楷体" w:eastAsia="仿宋_GB2312"/>
          <w:b w:val="0"/>
          <w:spacing w:val="-4"/>
          <w:sz w:val="32"/>
          <w:szCs w:val="32"/>
        </w:rPr>
        <w:t>室负责人对预算绩效管理工作进行专题研究部署，统筹协调全部室全力做好绩效管理基础工作，带头落实预算绩效管理工作，助推</w:t>
      </w:r>
      <w:r>
        <w:rPr>
          <w:rStyle w:val="21"/>
          <w:rFonts w:hint="eastAsia" w:ascii="仿宋_GB2312" w:hAnsi="楷体" w:eastAsia="仿宋_GB2312"/>
          <w:b w:val="0"/>
          <w:spacing w:val="-4"/>
          <w:sz w:val="32"/>
          <w:szCs w:val="32"/>
          <w:lang w:eastAsia="zh-CN"/>
        </w:rPr>
        <w:t>局</w:t>
      </w:r>
      <w:r>
        <w:rPr>
          <w:rStyle w:val="21"/>
          <w:rFonts w:hint="eastAsia" w:ascii="仿宋_GB2312" w:hAnsi="楷体" w:eastAsia="仿宋_GB2312"/>
          <w:b w:val="0"/>
          <w:spacing w:val="-4"/>
          <w:sz w:val="32"/>
          <w:szCs w:val="32"/>
        </w:rPr>
        <w:t>机关预算绩效管理工作得以顺利实施。二是精心组织，着力推进。及时调整绩效目标。按照绩效目标设定，坚持履行规定的程序和手续，确保相关项目资金合理使用，做到专款专用，严格审批，公开透明。</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textAlignment w:val="auto"/>
        <w:rPr>
          <w:rStyle w:val="21"/>
          <w:rFonts w:hint="eastAsia"/>
          <w:spacing w:val="-4"/>
          <w:sz w:val="32"/>
          <w:szCs w:val="32"/>
        </w:rPr>
      </w:pPr>
      <w:r>
        <w:rPr>
          <w:rStyle w:val="21"/>
          <w:rFonts w:hint="eastAsia"/>
          <w:spacing w:val="-4"/>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本项目严格按照科学公正、统筹兼顾、激励约束、公开透明绩效评价原则，采用因素分析评价方法，坚持计划标准对本项目的立项、项绩效目标、资金投入、资金管理、组织实施、产出数量、产出质量、产出时效、产出成本、项目效益进行了综合评价。</w:t>
      </w:r>
    </w:p>
    <w:p>
      <w:pPr>
        <w:keepNext w:val="0"/>
        <w:keepLines w:val="0"/>
        <w:pageBreakBefore w:val="0"/>
        <w:kinsoku/>
        <w:wordWrap/>
        <w:overflowPunct/>
        <w:topLinePunct w:val="0"/>
        <w:autoSpaceDE/>
        <w:autoSpaceDN/>
        <w:bidi w:val="0"/>
        <w:adjustRightInd/>
        <w:snapToGrid/>
        <w:spacing w:line="560" w:lineRule="exact"/>
        <w:ind w:firstLine="567"/>
        <w:jc w:val="center"/>
        <w:rPr>
          <w:rStyle w:val="21"/>
          <w:rFonts w:ascii="仿宋_GB2312" w:hAnsi="楷体" w:eastAsia="仿宋_GB2312"/>
          <w:b w:val="0"/>
          <w:spacing w:val="-4"/>
          <w:sz w:val="24"/>
          <w:szCs w:val="24"/>
        </w:rPr>
      </w:pPr>
      <w:r>
        <w:rPr>
          <w:rStyle w:val="21"/>
          <w:rFonts w:hint="eastAsia" w:ascii="仿宋_GB2312" w:hAnsi="楷体" w:eastAsia="仿宋_GB2312"/>
          <w:b w:val="0"/>
          <w:spacing w:val="-4"/>
          <w:sz w:val="24"/>
          <w:szCs w:val="24"/>
          <w:lang w:eastAsia="zh-CN"/>
        </w:rPr>
        <w:t>自治区自治区信访局办公用房维修改造项目</w:t>
      </w:r>
      <w:r>
        <w:rPr>
          <w:rStyle w:val="21"/>
          <w:rFonts w:hint="eastAsia" w:ascii="仿宋_GB2312" w:hAnsi="楷体" w:eastAsia="仿宋_GB2312"/>
          <w:b w:val="0"/>
          <w:spacing w:val="-4"/>
          <w:sz w:val="24"/>
          <w:szCs w:val="24"/>
        </w:rPr>
        <w:t>资金评价得分情况</w:t>
      </w:r>
    </w:p>
    <w:tbl>
      <w:tblPr>
        <w:tblStyle w:val="19"/>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b/>
                <w:bCs/>
                <w:sz w:val="22"/>
              </w:rPr>
            </w:pPr>
            <w:r>
              <w:rPr>
                <w:rFonts w:hint="eastAsia"/>
                <w:b/>
                <w:bCs/>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b/>
                <w:bCs/>
                <w:sz w:val="22"/>
              </w:rPr>
            </w:pPr>
            <w:r>
              <w:rPr>
                <w:rFonts w:hint="eastAsia"/>
                <w:b/>
                <w:bCs/>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b/>
                <w:bCs/>
                <w:sz w:val="22"/>
              </w:rPr>
            </w:pPr>
            <w:r>
              <w:rPr>
                <w:rFonts w:hint="eastAsia"/>
                <w:b/>
                <w:bCs/>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sz w:val="22"/>
              </w:rPr>
            </w:pPr>
            <w:r>
              <w:rPr>
                <w:rFonts w:hint="eastAsia"/>
                <w:sz w:val="22"/>
              </w:rPr>
              <w:t>产出指标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sz w:val="22"/>
              </w:rPr>
            </w:pPr>
            <w:r>
              <w:rPr>
                <w:rFonts w:hint="eastAsia"/>
                <w:sz w:val="22"/>
              </w:rPr>
              <w:t>效益指标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eastAsia="仿宋_GB2312"/>
                <w:sz w:val="22"/>
              </w:rPr>
            </w:pPr>
            <w:r>
              <w:rPr>
                <w:rFonts w:hint="eastAsia"/>
                <w:sz w:val="22"/>
                <w:lang w:val="en-US" w:eastAsia="zh-CN"/>
              </w:rPr>
              <w:t>2</w:t>
            </w:r>
            <w:r>
              <w:rPr>
                <w:rFonts w:hint="eastAsia"/>
                <w:sz w:val="22"/>
              </w:rPr>
              <w:t>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sz w:val="22"/>
              </w:rPr>
            </w:pPr>
            <w:r>
              <w:rPr>
                <w:rFonts w:hint="eastAsia"/>
                <w:sz w:val="22"/>
              </w:rPr>
              <w:t>成本指标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eastAsia" w:eastAsia="宋体"/>
                <w:sz w:val="22"/>
                <w:lang w:eastAsia="zh-CN"/>
              </w:rPr>
            </w:pPr>
            <w:r>
              <w:rPr>
                <w:rFonts w:hint="eastAsia"/>
                <w:sz w:val="22"/>
              </w:rPr>
              <w:t>满意度指标</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0" w:firstLineChars="200"/>
              <w:jc w:val="center"/>
              <w:rPr>
                <w:rFonts w:hint="default" w:eastAsia="仿宋_GB2312"/>
                <w:sz w:val="22"/>
                <w:lang w:val="en-US" w:eastAsia="zh-CN"/>
              </w:rPr>
            </w:pPr>
            <w:r>
              <w:rPr>
                <w:rFonts w:hint="eastAsia" w:eastAsia="仿宋_GB2312"/>
                <w:sz w:val="22"/>
                <w:lang w:val="en-US" w:eastAsia="zh-CN"/>
              </w:rPr>
              <w:t>10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rFonts w:cs="宋体"/>
                <w:b/>
                <w:bCs/>
                <w:sz w:val="22"/>
              </w:rPr>
            </w:pPr>
            <w:r>
              <w:rPr>
                <w:rFonts w:hint="eastAsia" w:cs="宋体"/>
                <w:b/>
                <w:bCs/>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rFonts w:eastAsia="仿宋_GB2312"/>
                <w:b/>
                <w:bCs/>
                <w:sz w:val="22"/>
              </w:rPr>
            </w:pPr>
            <w:r>
              <w:rPr>
                <w:rFonts w:hint="eastAsia"/>
                <w:b/>
                <w:bCs/>
                <w:sz w:val="22"/>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ind w:firstLine="442" w:firstLineChars="200"/>
              <w:jc w:val="center"/>
              <w:rPr>
                <w:rFonts w:hint="default" w:eastAsia="仿宋_GB2312"/>
                <w:b/>
                <w:bCs/>
                <w:sz w:val="22"/>
                <w:lang w:val="en-US" w:eastAsia="zh-CN"/>
              </w:rPr>
            </w:pPr>
            <w:r>
              <w:rPr>
                <w:rFonts w:hint="eastAsia" w:eastAsia="仿宋_GB2312"/>
                <w:b/>
                <w:bCs/>
                <w:sz w:val="22"/>
                <w:lang w:val="en-US" w:eastAsia="zh-CN"/>
              </w:rPr>
              <w:t>100</w:t>
            </w:r>
          </w:p>
        </w:tc>
      </w:tr>
    </w:tbl>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21"/>
          <w:rFonts w:hint="eastAsia" w:ascii="仿宋_GB2312" w:hAnsi="楷体" w:eastAsia="仿宋_GB2312"/>
          <w:b w:val="0"/>
          <w:spacing w:val="-4"/>
          <w:sz w:val="32"/>
          <w:szCs w:val="32"/>
          <w:lang w:eastAsia="zh-CN"/>
        </w:rPr>
      </w:pPr>
      <w:r>
        <w:rPr>
          <w:rFonts w:hint="eastAsia" w:ascii="仿宋_GB2312" w:hAnsi="仿宋" w:eastAsia="仿宋_GB2312"/>
          <w:sz w:val="32"/>
          <w:szCs w:val="32"/>
          <w:lang w:eastAsia="zh-CN"/>
        </w:rPr>
        <w:t>自治区信访局办公用房维修改造项目</w:t>
      </w:r>
      <w:r>
        <w:rPr>
          <w:rStyle w:val="21"/>
          <w:rFonts w:hint="eastAsia" w:ascii="仿宋_GB2312" w:hAnsi="楷体" w:eastAsia="仿宋_GB2312"/>
          <w:b w:val="0"/>
          <w:spacing w:val="-4"/>
          <w:sz w:val="32"/>
          <w:szCs w:val="32"/>
          <w:lang w:eastAsia="zh-CN"/>
        </w:rPr>
        <w:t>经局绩效评价小组综合评价，得分为</w:t>
      </w:r>
      <w:r>
        <w:rPr>
          <w:rStyle w:val="21"/>
          <w:rFonts w:hint="eastAsia" w:ascii="仿宋_GB2312" w:hAnsi="楷体" w:eastAsia="仿宋_GB2312"/>
          <w:b w:val="0"/>
          <w:spacing w:val="-4"/>
          <w:sz w:val="32"/>
          <w:szCs w:val="32"/>
          <w:lang w:val="en-US" w:eastAsia="zh-CN"/>
        </w:rPr>
        <w:t>100</w:t>
      </w:r>
      <w:r>
        <w:rPr>
          <w:rStyle w:val="21"/>
          <w:rFonts w:hint="eastAsia" w:ascii="仿宋_GB2312" w:hAnsi="楷体" w:eastAsia="仿宋_GB2312"/>
          <w:b w:val="0"/>
          <w:spacing w:val="-4"/>
          <w:sz w:val="32"/>
          <w:szCs w:val="32"/>
          <w:lang w:eastAsia="zh-CN"/>
        </w:rPr>
        <w:t>分，评价等级为优秀。</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21"/>
          <w:rFonts w:ascii="黑体" w:hAnsi="黑体" w:eastAsia="黑体"/>
        </w:rPr>
      </w:pPr>
      <w:r>
        <w:rPr>
          <w:rStyle w:val="21"/>
          <w:rFonts w:hint="eastAsia" w:ascii="黑体" w:hAnsi="黑体" w:eastAsia="黑体"/>
          <w:b w:val="0"/>
          <w:spacing w:val="-4"/>
          <w:sz w:val="32"/>
          <w:szCs w:val="32"/>
        </w:rPr>
        <w:t>四、</w:t>
      </w:r>
      <w:r>
        <w:rPr>
          <w:rStyle w:val="21"/>
          <w:rFonts w:hint="eastAsia"/>
          <w:spacing w:val="-4"/>
          <w:sz w:val="32"/>
          <w:szCs w:val="32"/>
        </w:rPr>
        <w:t>绩效评价指标分析</w:t>
      </w:r>
      <w:r>
        <w:rPr>
          <w:rStyle w:val="21"/>
          <w:rFonts w:hint="eastAsia" w:ascii="黑体" w:hAnsi="黑体" w:eastAsia="黑体"/>
          <w:b w:val="0"/>
          <w:spacing w:val="-4"/>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1、立项依据充分性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lang w:val="en-US" w:eastAsia="zh-CN"/>
        </w:rPr>
      </w:pPr>
      <w:r>
        <w:rPr>
          <w:rStyle w:val="21"/>
          <w:rFonts w:hint="eastAsia" w:ascii="仿宋_GB2312" w:hAnsi="楷体" w:eastAsia="仿宋_GB2312"/>
          <w:b w:val="0"/>
          <w:spacing w:val="-4"/>
          <w:sz w:val="32"/>
          <w:szCs w:val="32"/>
          <w:lang w:eastAsia="zh-CN"/>
        </w:rPr>
        <w:t>严格按照自治区机关事务管理局《</w:t>
      </w:r>
      <w:r>
        <w:rPr>
          <w:rStyle w:val="21"/>
          <w:rFonts w:hint="eastAsia" w:ascii="仿宋_GB2312" w:hAnsi="楷体" w:eastAsia="仿宋_GB2312"/>
          <w:b w:val="0"/>
          <w:spacing w:val="-4"/>
          <w:sz w:val="32"/>
          <w:szCs w:val="32"/>
        </w:rPr>
        <w:t>关于同意自治区信访局办公用房维修改造项目立项的复函</w:t>
      </w:r>
      <w:r>
        <w:rPr>
          <w:rStyle w:val="21"/>
          <w:rFonts w:hint="eastAsia" w:ascii="仿宋_GB2312" w:hAnsi="楷体" w:eastAsia="仿宋_GB2312"/>
          <w:b w:val="0"/>
          <w:spacing w:val="-4"/>
          <w:sz w:val="32"/>
          <w:szCs w:val="32"/>
          <w:lang w:val="en-US" w:eastAsia="zh-CN"/>
        </w:rPr>
        <w:t>》（</w:t>
      </w:r>
      <w:r>
        <w:rPr>
          <w:rStyle w:val="21"/>
          <w:rFonts w:hint="eastAsia" w:ascii="仿宋_GB2312" w:hAnsi="楷体" w:eastAsia="仿宋_GB2312"/>
          <w:b w:val="0"/>
          <w:spacing w:val="-4"/>
          <w:sz w:val="32"/>
          <w:szCs w:val="32"/>
        </w:rPr>
        <w:t>新管房地〔2022〕23号</w:t>
      </w:r>
      <w:r>
        <w:rPr>
          <w:rStyle w:val="21"/>
          <w:rFonts w:hint="eastAsia" w:ascii="仿宋_GB2312" w:hAnsi="楷体" w:eastAsia="仿宋_GB2312"/>
          <w:b w:val="0"/>
          <w:spacing w:val="-4"/>
          <w:sz w:val="32"/>
          <w:szCs w:val="32"/>
          <w:lang w:val="en-US" w:eastAsia="zh-CN"/>
        </w:rPr>
        <w:t>）要求，组织项目实施。</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2、立项程序规范性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21"/>
          <w:rFonts w:ascii="仿宋_GB2312" w:hAnsi="楷体" w:eastAsia="仿宋_GB2312"/>
          <w:b w:val="0"/>
          <w:spacing w:val="-4"/>
          <w:sz w:val="32"/>
          <w:szCs w:val="32"/>
        </w:rPr>
      </w:pPr>
      <w:r>
        <w:rPr>
          <w:rFonts w:hint="eastAsia" w:ascii="仿宋_GB2312" w:hAnsi="仿宋" w:eastAsia="仿宋_GB2312"/>
          <w:sz w:val="32"/>
          <w:szCs w:val="32"/>
          <w:lang w:eastAsia="zh-CN"/>
        </w:rPr>
        <w:t>自治区信访局办公用房维修改造项目</w:t>
      </w:r>
      <w:r>
        <w:rPr>
          <w:rStyle w:val="21"/>
          <w:rFonts w:hint="eastAsia" w:ascii="仿宋_GB2312" w:hAnsi="楷体" w:eastAsia="仿宋_GB2312"/>
          <w:b w:val="0"/>
          <w:spacing w:val="-4"/>
          <w:sz w:val="32"/>
          <w:szCs w:val="32"/>
        </w:rPr>
        <w:t>均严格按照规定的程序申请设立，审批文件、材料是否符合相关要求，并经过可行性研究，部室集体讨论研究通过。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3、绩效目标合理性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21"/>
          <w:rFonts w:ascii="仿宋_GB2312" w:hAnsi="楷体" w:eastAsia="仿宋_GB2312"/>
          <w:b w:val="0"/>
          <w:spacing w:val="-4"/>
          <w:sz w:val="32"/>
          <w:szCs w:val="32"/>
        </w:rPr>
      </w:pPr>
      <w:r>
        <w:rPr>
          <w:rFonts w:hint="eastAsia" w:ascii="仿宋_GB2312" w:hAnsi="仿宋" w:eastAsia="仿宋_GB2312"/>
          <w:sz w:val="32"/>
          <w:szCs w:val="32"/>
          <w:lang w:eastAsia="zh-CN"/>
        </w:rPr>
        <w:t>自治区信访局办公用房维修改造项目</w:t>
      </w:r>
      <w:r>
        <w:rPr>
          <w:rStyle w:val="21"/>
          <w:rFonts w:hint="eastAsia" w:ascii="仿宋_GB2312" w:hAnsi="楷体" w:eastAsia="仿宋_GB2312"/>
          <w:b w:val="0"/>
          <w:spacing w:val="-4"/>
          <w:sz w:val="32"/>
          <w:szCs w:val="32"/>
        </w:rPr>
        <w:t>绩效目标，与</w:t>
      </w:r>
      <w:r>
        <w:rPr>
          <w:rStyle w:val="21"/>
          <w:rFonts w:hint="eastAsia" w:ascii="仿宋_GB2312" w:hAnsi="楷体" w:eastAsia="仿宋_GB2312"/>
          <w:b w:val="0"/>
          <w:spacing w:val="-4"/>
          <w:sz w:val="32"/>
          <w:szCs w:val="32"/>
          <w:lang w:eastAsia="zh-CN"/>
        </w:rPr>
        <w:t>局</w:t>
      </w:r>
      <w:r>
        <w:rPr>
          <w:rStyle w:val="21"/>
          <w:rFonts w:hint="eastAsia" w:ascii="仿宋_GB2312" w:hAnsi="楷体" w:eastAsia="仿宋_GB2312"/>
          <w:b w:val="0"/>
          <w:spacing w:val="-4"/>
          <w:sz w:val="32"/>
          <w:szCs w:val="32"/>
        </w:rPr>
        <w:t>各项重点工作均具有相关性，项目的预期产出效益和效果也均能符合正常的业绩水平，并且与预算确定的项目投资额或资金量相匹配。</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4、绩效指标明确性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21"/>
          <w:rFonts w:ascii="仿宋_GB2312" w:hAnsi="楷体" w:eastAsia="仿宋_GB2312"/>
          <w:b w:val="0"/>
          <w:spacing w:val="-4"/>
          <w:sz w:val="32"/>
          <w:szCs w:val="32"/>
        </w:rPr>
      </w:pPr>
      <w:r>
        <w:rPr>
          <w:rFonts w:hint="eastAsia" w:ascii="仿宋_GB2312" w:hAnsi="仿宋" w:eastAsia="仿宋_GB2312"/>
          <w:sz w:val="32"/>
          <w:szCs w:val="32"/>
          <w:lang w:eastAsia="zh-CN"/>
        </w:rPr>
        <w:t>自治区信访局办公用房维修改造项目</w:t>
      </w:r>
      <w:r>
        <w:rPr>
          <w:rStyle w:val="21"/>
          <w:rFonts w:hint="eastAsia" w:ascii="仿宋_GB2312" w:hAnsi="楷体" w:eastAsia="仿宋_GB2312"/>
          <w:b w:val="0"/>
          <w:spacing w:val="-4"/>
          <w:sz w:val="32"/>
          <w:szCs w:val="32"/>
        </w:rPr>
        <w:t>绩效目标细化分解为具体的绩效指标，一级指标共3条，二级指标共</w:t>
      </w:r>
      <w:r>
        <w:rPr>
          <w:rStyle w:val="21"/>
          <w:rFonts w:hint="eastAsia" w:ascii="仿宋_GB2312" w:hAnsi="楷体" w:eastAsia="仿宋_GB2312"/>
          <w:b w:val="0"/>
          <w:spacing w:val="-4"/>
          <w:sz w:val="32"/>
          <w:szCs w:val="32"/>
          <w:lang w:val="en-US" w:eastAsia="zh-CN"/>
        </w:rPr>
        <w:t>6</w:t>
      </w:r>
      <w:r>
        <w:rPr>
          <w:rStyle w:val="21"/>
          <w:rFonts w:hint="eastAsia" w:ascii="仿宋_GB2312" w:hAnsi="楷体" w:eastAsia="仿宋_GB2312"/>
          <w:b w:val="0"/>
          <w:spacing w:val="-4"/>
          <w:sz w:val="32"/>
          <w:szCs w:val="32"/>
        </w:rPr>
        <w:t>条，三级指标共</w:t>
      </w:r>
      <w:r>
        <w:rPr>
          <w:rStyle w:val="21"/>
          <w:rFonts w:hint="eastAsia" w:ascii="仿宋_GB2312" w:hAnsi="楷体" w:eastAsia="仿宋_GB2312"/>
          <w:b w:val="0"/>
          <w:spacing w:val="-4"/>
          <w:sz w:val="32"/>
          <w:szCs w:val="32"/>
          <w:lang w:val="en-US" w:eastAsia="zh-CN"/>
        </w:rPr>
        <w:t>20</w:t>
      </w:r>
      <w:r>
        <w:rPr>
          <w:rStyle w:val="21"/>
          <w:rFonts w:hint="eastAsia" w:ascii="仿宋_GB2312" w:hAnsi="楷体" w:eastAsia="仿宋_GB2312"/>
          <w:b w:val="0"/>
          <w:spacing w:val="-4"/>
          <w:sz w:val="32"/>
          <w:szCs w:val="32"/>
        </w:rPr>
        <w:t>条，其中量化指标条数共</w:t>
      </w:r>
      <w:r>
        <w:rPr>
          <w:rStyle w:val="21"/>
          <w:rFonts w:hint="eastAsia" w:ascii="仿宋_GB2312" w:hAnsi="楷体" w:eastAsia="仿宋_GB2312"/>
          <w:b w:val="0"/>
          <w:spacing w:val="-4"/>
          <w:sz w:val="32"/>
          <w:szCs w:val="32"/>
          <w:lang w:val="en-US" w:eastAsia="zh-CN"/>
        </w:rPr>
        <w:t>20</w:t>
      </w:r>
      <w:r>
        <w:rPr>
          <w:rStyle w:val="21"/>
          <w:rFonts w:hint="eastAsia" w:ascii="仿宋_GB2312" w:hAnsi="楷体" w:eastAsia="仿宋_GB2312"/>
          <w:b w:val="0"/>
          <w:spacing w:val="-4"/>
          <w:sz w:val="32"/>
          <w:szCs w:val="32"/>
        </w:rPr>
        <w:t>条，所有绩效指标均通过清晰、可衡量的指标值予以体现，并且做到了与项目目标任务数或计划数相对应。</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5、预算编制科学性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lang w:eastAsia="zh-CN"/>
        </w:rPr>
        <w:t>自治区信访局办公用房维修改造项目</w:t>
      </w:r>
      <w:r>
        <w:rPr>
          <w:rStyle w:val="21"/>
          <w:rFonts w:hint="eastAsia" w:ascii="仿宋_GB2312" w:hAnsi="楷体" w:eastAsia="仿宋_GB2312"/>
          <w:b w:val="0"/>
          <w:spacing w:val="-4"/>
          <w:sz w:val="32"/>
          <w:szCs w:val="32"/>
        </w:rPr>
        <w:t>资金预算均按照标准编制，并经过科学论证，与项目内容匹配，预算确定的项目投资额与工作任务相匹配。</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6、资金分配合理性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预算资金分配依据充分，资金分配额度合理，与实际相适应。</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1、资金到位率：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实际到位资金</w:t>
      </w:r>
      <w:r>
        <w:rPr>
          <w:rStyle w:val="21"/>
          <w:rFonts w:hint="eastAsia" w:ascii="仿宋_GB2312" w:hAnsi="楷体" w:eastAsia="仿宋_GB2312"/>
          <w:b w:val="0"/>
          <w:spacing w:val="-4"/>
          <w:sz w:val="32"/>
          <w:szCs w:val="32"/>
          <w:lang w:val="en-US" w:eastAsia="zh-CN"/>
        </w:rPr>
        <w:t>143</w:t>
      </w:r>
      <w:r>
        <w:rPr>
          <w:rStyle w:val="21"/>
          <w:rFonts w:hint="eastAsia" w:ascii="仿宋_GB2312" w:hAnsi="楷体" w:eastAsia="仿宋_GB2312"/>
          <w:b w:val="0"/>
          <w:spacing w:val="-4"/>
          <w:sz w:val="32"/>
          <w:szCs w:val="32"/>
        </w:rPr>
        <w:t>万元，预算资金</w:t>
      </w:r>
      <w:r>
        <w:rPr>
          <w:rStyle w:val="21"/>
          <w:rFonts w:hint="eastAsia" w:ascii="仿宋_GB2312" w:hAnsi="楷体" w:eastAsia="仿宋_GB2312"/>
          <w:b w:val="0"/>
          <w:spacing w:val="-4"/>
          <w:sz w:val="32"/>
          <w:szCs w:val="32"/>
          <w:lang w:val="en-US" w:eastAsia="zh-CN"/>
        </w:rPr>
        <w:t>143</w:t>
      </w:r>
      <w:r>
        <w:rPr>
          <w:rStyle w:val="21"/>
          <w:rFonts w:hint="eastAsia" w:ascii="仿宋_GB2312" w:hAnsi="楷体" w:eastAsia="仿宋_GB2312"/>
          <w:b w:val="0"/>
          <w:spacing w:val="-4"/>
          <w:sz w:val="32"/>
          <w:szCs w:val="32"/>
        </w:rPr>
        <w:t>万元，资金到位率100%（资金到位率=（实际到位资金/预算资金）×100%）</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2、预算执行率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年初预算数</w:t>
      </w:r>
      <w:r>
        <w:rPr>
          <w:rStyle w:val="21"/>
          <w:rFonts w:hint="eastAsia" w:ascii="仿宋_GB2312" w:hAnsi="楷体" w:eastAsia="仿宋_GB2312"/>
          <w:b w:val="0"/>
          <w:spacing w:val="-4"/>
          <w:sz w:val="32"/>
          <w:szCs w:val="32"/>
          <w:lang w:val="en-US" w:eastAsia="zh-CN"/>
        </w:rPr>
        <w:t>143</w:t>
      </w:r>
      <w:r>
        <w:rPr>
          <w:rStyle w:val="21"/>
          <w:rFonts w:hint="eastAsia" w:ascii="仿宋_GB2312" w:hAnsi="楷体" w:eastAsia="仿宋_GB2312"/>
          <w:b w:val="0"/>
          <w:spacing w:val="-4"/>
          <w:sz w:val="32"/>
          <w:szCs w:val="32"/>
        </w:rPr>
        <w:t>万元，全年预算数</w:t>
      </w:r>
      <w:r>
        <w:rPr>
          <w:rStyle w:val="21"/>
          <w:rFonts w:hint="eastAsia" w:ascii="仿宋_GB2312" w:hAnsi="楷体" w:eastAsia="仿宋_GB2312"/>
          <w:b w:val="0"/>
          <w:spacing w:val="-4"/>
          <w:sz w:val="32"/>
          <w:szCs w:val="32"/>
          <w:lang w:val="en-US" w:eastAsia="zh-CN"/>
        </w:rPr>
        <w:t>143</w:t>
      </w:r>
      <w:r>
        <w:rPr>
          <w:rStyle w:val="21"/>
          <w:rFonts w:hint="eastAsia" w:ascii="仿宋_GB2312" w:hAnsi="楷体" w:eastAsia="仿宋_GB2312"/>
          <w:b w:val="0"/>
          <w:spacing w:val="-4"/>
          <w:sz w:val="32"/>
          <w:szCs w:val="32"/>
        </w:rPr>
        <w:t>万元（有年中追加资金，全年预算数=年初预算数+追加资金），全年执行数</w:t>
      </w:r>
      <w:r>
        <w:rPr>
          <w:rStyle w:val="21"/>
          <w:rFonts w:hint="eastAsia" w:ascii="仿宋_GB2312" w:hAnsi="楷体" w:eastAsia="仿宋_GB2312"/>
          <w:b w:val="0"/>
          <w:spacing w:val="-4"/>
          <w:sz w:val="32"/>
          <w:szCs w:val="32"/>
          <w:lang w:val="en-US" w:eastAsia="zh-CN"/>
        </w:rPr>
        <w:t>143</w:t>
      </w:r>
      <w:r>
        <w:rPr>
          <w:rStyle w:val="21"/>
          <w:rFonts w:hint="eastAsia" w:ascii="仿宋_GB2312" w:hAnsi="楷体" w:eastAsia="仿宋_GB2312"/>
          <w:b w:val="0"/>
          <w:spacing w:val="-4"/>
          <w:sz w:val="32"/>
          <w:szCs w:val="32"/>
        </w:rPr>
        <w:t>万元，预算执行率为</w:t>
      </w:r>
      <w:r>
        <w:rPr>
          <w:rStyle w:val="21"/>
          <w:rFonts w:hint="eastAsia" w:ascii="仿宋_GB2312" w:hAnsi="楷体" w:eastAsia="仿宋_GB2312"/>
          <w:b w:val="0"/>
          <w:spacing w:val="-4"/>
          <w:sz w:val="32"/>
          <w:szCs w:val="32"/>
          <w:lang w:val="en-US" w:eastAsia="zh-CN"/>
        </w:rPr>
        <w:t>100</w:t>
      </w:r>
      <w:r>
        <w:rPr>
          <w:rStyle w:val="21"/>
          <w:rFonts w:hint="eastAsia" w:ascii="仿宋_GB2312" w:hAnsi="楷体" w:eastAsia="仿宋_GB2312"/>
          <w:b w:val="0"/>
          <w:spacing w:val="-4"/>
          <w:sz w:val="32"/>
          <w:szCs w:val="32"/>
        </w:rPr>
        <w:t>%（预算执行率=全年执行数/全年预算数）</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3、资金使用合规性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资金使用符合国家财经法规和财务管理制度以及有关专项资金管理办法的规定；资金的拨付严格按照相关规定具备完整的审批程序和手续；符合项目预算批复或合同规定的用途；不存在截留、挤占、挪用、虚列支出等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4、管理制度健全性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已制定或具有相应的财务和业务管理制度；财务和业务管理制度合法、合规、完整。</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5、制度执行有效性</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仿宋_GB2312" w:hAnsi="楷体" w:eastAsia="仿宋_GB2312"/>
          <w:b w:val="0"/>
          <w:spacing w:val="-4"/>
          <w:sz w:val="32"/>
          <w:szCs w:val="32"/>
        </w:rPr>
      </w:pPr>
      <w:r>
        <w:rPr>
          <w:rStyle w:val="21"/>
          <w:rFonts w:hint="eastAsia" w:ascii="仿宋_GB2312" w:hAnsi="楷体" w:eastAsia="仿宋_GB2312"/>
          <w:b w:val="0"/>
          <w:spacing w:val="-4"/>
          <w:sz w:val="32"/>
          <w:szCs w:val="32"/>
        </w:rPr>
        <w:t>严格遵守相关法律法规和相关管理规定；项目调整及支出调整手续完备；项目合同书、验收报告、技术鉴定等资料齐全并及时归档；项目实施的人员条件、场地设备、信息支撑等落实到位。</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hint="eastAsia" w:ascii="楷体" w:hAnsi="楷体" w:eastAsia="楷体"/>
          <w:b/>
          <w:spacing w:val="-4"/>
          <w:sz w:val="32"/>
          <w:szCs w:val="32"/>
          <w:lang w:eastAsia="zh-CN"/>
        </w:rPr>
      </w:pPr>
      <w:r>
        <w:rPr>
          <w:rFonts w:hint="eastAsia" w:ascii="楷体" w:hAnsi="楷体" w:eastAsia="楷体"/>
          <w:b/>
          <w:spacing w:val="-4"/>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楷体" w:eastAsia="仿宋_GB2312"/>
          <w:b w:val="0"/>
          <w:spacing w:val="-4"/>
          <w:sz w:val="32"/>
          <w:szCs w:val="32"/>
        </w:rPr>
      </w:pPr>
      <w:r>
        <w:rPr>
          <w:rStyle w:val="21"/>
          <w:rFonts w:hint="eastAsia" w:ascii="仿宋_GB2312" w:hAnsi="楷体" w:eastAsia="仿宋_GB2312"/>
          <w:b w:val="0"/>
          <w:spacing w:val="-4"/>
          <w:sz w:val="32"/>
          <w:szCs w:val="32"/>
        </w:rPr>
        <w:t>项目产出情况小计得分</w:t>
      </w:r>
      <w:r>
        <w:rPr>
          <w:rStyle w:val="21"/>
          <w:rFonts w:hint="eastAsia" w:ascii="仿宋_GB2312" w:hAnsi="楷体" w:eastAsia="仿宋_GB2312"/>
          <w:b w:val="0"/>
          <w:spacing w:val="-4"/>
          <w:sz w:val="32"/>
          <w:szCs w:val="32"/>
          <w:lang w:val="en-US" w:eastAsia="zh-CN"/>
        </w:rPr>
        <w:t>50</w:t>
      </w:r>
      <w:r>
        <w:rPr>
          <w:rStyle w:val="21"/>
          <w:rFonts w:hint="eastAsia" w:ascii="仿宋_GB2312" w:hAnsi="楷体" w:eastAsia="仿宋_GB2312"/>
          <w:b w:val="0"/>
          <w:spacing w:val="-4"/>
          <w:sz w:val="32"/>
          <w:szCs w:val="32"/>
        </w:rPr>
        <w:t>分，其中：1. 数量指标分析：项目实际完成率100%，得分1</w:t>
      </w:r>
      <w:r>
        <w:rPr>
          <w:rStyle w:val="21"/>
          <w:rFonts w:hint="eastAsia" w:ascii="仿宋_GB2312" w:hAnsi="楷体" w:eastAsia="仿宋_GB2312"/>
          <w:b w:val="0"/>
          <w:spacing w:val="-4"/>
          <w:sz w:val="32"/>
          <w:szCs w:val="32"/>
          <w:lang w:val="en-US" w:eastAsia="zh-CN"/>
        </w:rPr>
        <w:t>0</w:t>
      </w:r>
      <w:r>
        <w:rPr>
          <w:rStyle w:val="21"/>
          <w:rFonts w:hint="eastAsia" w:ascii="仿宋_GB2312" w:hAnsi="楷体" w:eastAsia="仿宋_GB2312"/>
          <w:b w:val="0"/>
          <w:spacing w:val="-4"/>
          <w:sz w:val="32"/>
          <w:szCs w:val="32"/>
        </w:rPr>
        <w:t>分；2. 质量指标分析：验收合格，接访中心院落环境整洁率</w:t>
      </w:r>
      <w:r>
        <w:rPr>
          <w:rStyle w:val="21"/>
          <w:rFonts w:hint="eastAsia" w:ascii="仿宋_GB2312" w:hAnsi="楷体" w:eastAsia="仿宋_GB2312"/>
          <w:b w:val="0"/>
          <w:spacing w:val="-4"/>
          <w:sz w:val="32"/>
          <w:szCs w:val="32"/>
          <w:lang w:eastAsia="zh-CN"/>
        </w:rPr>
        <w:t>大于</w:t>
      </w:r>
      <w:r>
        <w:rPr>
          <w:rStyle w:val="21"/>
          <w:rFonts w:hint="eastAsia" w:ascii="仿宋_GB2312" w:hAnsi="楷体" w:eastAsia="仿宋_GB2312"/>
          <w:b w:val="0"/>
          <w:spacing w:val="-4"/>
          <w:sz w:val="32"/>
          <w:szCs w:val="32"/>
        </w:rPr>
        <w:t>90%，项目无偏差，偏差值0，得分</w:t>
      </w:r>
      <w:r>
        <w:rPr>
          <w:rStyle w:val="21"/>
          <w:rFonts w:hint="eastAsia" w:ascii="仿宋_GB2312" w:hAnsi="楷体" w:eastAsia="仿宋_GB2312"/>
          <w:b w:val="0"/>
          <w:spacing w:val="-4"/>
          <w:sz w:val="32"/>
          <w:szCs w:val="32"/>
          <w:lang w:val="en-US" w:eastAsia="zh-CN"/>
        </w:rPr>
        <w:t>20</w:t>
      </w:r>
      <w:r>
        <w:rPr>
          <w:rStyle w:val="21"/>
          <w:rFonts w:hint="eastAsia" w:ascii="仿宋_GB2312" w:hAnsi="楷体" w:eastAsia="仿宋_GB2312"/>
          <w:b w:val="0"/>
          <w:spacing w:val="-4"/>
          <w:sz w:val="32"/>
          <w:szCs w:val="32"/>
        </w:rPr>
        <w:t>分；3. 时效指标分析：项目完成期限预设指标为202</w:t>
      </w:r>
      <w:r>
        <w:rPr>
          <w:rStyle w:val="21"/>
          <w:rFonts w:hint="eastAsia" w:ascii="仿宋_GB2312" w:hAnsi="楷体" w:eastAsia="仿宋_GB2312"/>
          <w:b w:val="0"/>
          <w:spacing w:val="-4"/>
          <w:sz w:val="32"/>
          <w:szCs w:val="32"/>
          <w:lang w:val="en-US" w:eastAsia="zh-CN"/>
        </w:rPr>
        <w:t>3</w:t>
      </w:r>
      <w:r>
        <w:rPr>
          <w:rStyle w:val="21"/>
          <w:rFonts w:hint="eastAsia" w:ascii="仿宋_GB2312" w:hAnsi="楷体" w:eastAsia="仿宋_GB2312"/>
          <w:b w:val="0"/>
          <w:spacing w:val="-4"/>
          <w:sz w:val="32"/>
          <w:szCs w:val="32"/>
        </w:rPr>
        <w:t>年12月31日，实际完成情况为202</w:t>
      </w:r>
      <w:r>
        <w:rPr>
          <w:rStyle w:val="21"/>
          <w:rFonts w:hint="eastAsia" w:ascii="仿宋_GB2312" w:hAnsi="楷体" w:eastAsia="仿宋_GB2312"/>
          <w:b w:val="0"/>
          <w:spacing w:val="-4"/>
          <w:sz w:val="32"/>
          <w:szCs w:val="32"/>
          <w:lang w:val="en-US" w:eastAsia="zh-CN"/>
        </w:rPr>
        <w:t>3</w:t>
      </w:r>
      <w:r>
        <w:rPr>
          <w:rStyle w:val="21"/>
          <w:rFonts w:hint="eastAsia" w:ascii="仿宋_GB2312" w:hAnsi="楷体" w:eastAsia="仿宋_GB2312"/>
          <w:b w:val="0"/>
          <w:spacing w:val="-4"/>
          <w:sz w:val="32"/>
          <w:szCs w:val="32"/>
        </w:rPr>
        <w:t>年12月31日，项目按规定及时完成，偏差值0，得分10分；4. 成本指标分析：实现目标总支出预设指标为小于等于</w:t>
      </w:r>
      <w:r>
        <w:rPr>
          <w:rStyle w:val="21"/>
          <w:rFonts w:hint="eastAsia" w:ascii="仿宋_GB2312" w:hAnsi="楷体" w:eastAsia="仿宋_GB2312"/>
          <w:b w:val="0"/>
          <w:spacing w:val="-4"/>
          <w:sz w:val="32"/>
          <w:szCs w:val="32"/>
          <w:lang w:val="en-US" w:eastAsia="zh-CN"/>
        </w:rPr>
        <w:t>143</w:t>
      </w:r>
      <w:r>
        <w:rPr>
          <w:rStyle w:val="21"/>
          <w:rFonts w:hint="eastAsia" w:ascii="仿宋_GB2312" w:hAnsi="楷体" w:eastAsia="仿宋_GB2312"/>
          <w:b w:val="0"/>
          <w:spacing w:val="-4"/>
          <w:sz w:val="32"/>
          <w:szCs w:val="32"/>
        </w:rPr>
        <w:t>万元，实际完成</w:t>
      </w:r>
      <w:r>
        <w:rPr>
          <w:rStyle w:val="21"/>
          <w:rFonts w:hint="eastAsia" w:ascii="仿宋_GB2312" w:hAnsi="楷体" w:eastAsia="仿宋_GB2312"/>
          <w:b w:val="0"/>
          <w:spacing w:val="-4"/>
          <w:sz w:val="32"/>
          <w:szCs w:val="32"/>
          <w:lang w:val="en-US" w:eastAsia="zh-CN"/>
        </w:rPr>
        <w:t>143</w:t>
      </w:r>
      <w:r>
        <w:rPr>
          <w:rStyle w:val="21"/>
          <w:rFonts w:hint="eastAsia" w:ascii="仿宋_GB2312" w:hAnsi="楷体" w:eastAsia="仿宋_GB2312"/>
          <w:b w:val="0"/>
          <w:spacing w:val="-4"/>
          <w:sz w:val="32"/>
          <w:szCs w:val="32"/>
        </w:rPr>
        <w:t>万元</w:t>
      </w:r>
      <w:r>
        <w:rPr>
          <w:rStyle w:val="21"/>
          <w:rFonts w:hint="eastAsia" w:ascii="仿宋_GB2312" w:hAnsi="楷体" w:eastAsia="仿宋_GB2312"/>
          <w:b w:val="0"/>
          <w:spacing w:val="-4"/>
          <w:sz w:val="32"/>
          <w:szCs w:val="32"/>
          <w:lang w:eastAsia="zh-CN"/>
        </w:rPr>
        <w:t>等于</w:t>
      </w:r>
      <w:r>
        <w:rPr>
          <w:rStyle w:val="21"/>
          <w:rFonts w:hint="eastAsia" w:ascii="仿宋_GB2312" w:hAnsi="楷体" w:eastAsia="仿宋_GB2312"/>
          <w:b w:val="0"/>
          <w:spacing w:val="-4"/>
          <w:sz w:val="32"/>
          <w:szCs w:val="32"/>
          <w:lang w:val="en-US" w:eastAsia="zh-CN"/>
        </w:rPr>
        <w:t>143</w:t>
      </w:r>
      <w:r>
        <w:rPr>
          <w:rStyle w:val="21"/>
          <w:rFonts w:hint="eastAsia" w:ascii="仿宋_GB2312" w:hAnsi="楷体" w:eastAsia="仿宋_GB2312"/>
          <w:b w:val="0"/>
          <w:spacing w:val="-4"/>
          <w:sz w:val="32"/>
          <w:szCs w:val="32"/>
        </w:rPr>
        <w:t>万元</w:t>
      </w:r>
      <w:r>
        <w:rPr>
          <w:rStyle w:val="21"/>
          <w:rFonts w:hint="eastAsia" w:ascii="仿宋_GB2312" w:hAnsi="楷体" w:eastAsia="仿宋_GB2312"/>
          <w:b w:val="0"/>
          <w:spacing w:val="-4"/>
          <w:sz w:val="32"/>
          <w:szCs w:val="32"/>
          <w:lang w:eastAsia="zh-CN"/>
        </w:rPr>
        <w:t>，</w:t>
      </w:r>
      <w:r>
        <w:rPr>
          <w:rStyle w:val="21"/>
          <w:rFonts w:hint="eastAsia" w:ascii="仿宋_GB2312" w:hAnsi="楷体" w:eastAsia="仿宋_GB2312"/>
          <w:b w:val="0"/>
          <w:spacing w:val="-4"/>
          <w:sz w:val="32"/>
          <w:szCs w:val="32"/>
        </w:rPr>
        <w:t>偏差值</w:t>
      </w:r>
      <w:r>
        <w:rPr>
          <w:rStyle w:val="21"/>
          <w:rFonts w:hint="eastAsia" w:ascii="仿宋_GB2312" w:hAnsi="楷体" w:eastAsia="仿宋_GB2312"/>
          <w:b w:val="0"/>
          <w:spacing w:val="-4"/>
          <w:sz w:val="32"/>
          <w:szCs w:val="32"/>
          <w:lang w:val="en-US" w:eastAsia="zh-CN"/>
        </w:rPr>
        <w:t>0</w:t>
      </w:r>
      <w:r>
        <w:rPr>
          <w:rStyle w:val="21"/>
          <w:rFonts w:hint="eastAsia" w:ascii="仿宋_GB2312" w:hAnsi="楷体" w:eastAsia="仿宋_GB2312"/>
          <w:b w:val="0"/>
          <w:spacing w:val="-4"/>
          <w:sz w:val="32"/>
          <w:szCs w:val="32"/>
        </w:rPr>
        <w:t>，得分</w:t>
      </w:r>
      <w:r>
        <w:rPr>
          <w:rStyle w:val="21"/>
          <w:rFonts w:hint="eastAsia" w:ascii="仿宋_GB2312" w:hAnsi="楷体" w:eastAsia="仿宋_GB2312"/>
          <w:b w:val="0"/>
          <w:spacing w:val="-4"/>
          <w:sz w:val="32"/>
          <w:szCs w:val="32"/>
          <w:lang w:val="en-US" w:eastAsia="zh-CN"/>
        </w:rPr>
        <w:t>20</w:t>
      </w:r>
      <w:r>
        <w:rPr>
          <w:rStyle w:val="21"/>
          <w:rFonts w:hint="eastAsia" w:ascii="仿宋_GB2312" w:hAnsi="楷体" w:eastAsia="仿宋_GB2312"/>
          <w:b w:val="0"/>
          <w:spacing w:val="-4"/>
          <w:sz w:val="32"/>
          <w:szCs w:val="32"/>
        </w:rPr>
        <w:t>分。</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（四）项目效益情况。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仿宋_GB2312" w:eastAsia="仿宋_GB2312" w:cs="仿宋_GB2312"/>
          <w:b w:val="0"/>
          <w:bCs w:val="0"/>
          <w:spacing w:val="-4"/>
          <w:sz w:val="32"/>
          <w:szCs w:val="32"/>
        </w:rPr>
      </w:pPr>
      <w:r>
        <w:rPr>
          <w:rStyle w:val="21"/>
          <w:rFonts w:hint="eastAsia" w:ascii="仿宋_GB2312" w:hAnsi="仿宋_GB2312" w:eastAsia="仿宋_GB2312" w:cs="仿宋_GB2312"/>
          <w:b w:val="0"/>
          <w:bCs w:val="0"/>
          <w:spacing w:val="-4"/>
          <w:sz w:val="32"/>
          <w:szCs w:val="32"/>
        </w:rPr>
        <w:t>服务社会</w:t>
      </w:r>
      <w:r>
        <w:rPr>
          <w:rStyle w:val="21"/>
          <w:rFonts w:hint="eastAsia" w:ascii="仿宋_GB2312" w:hAnsi="仿宋_GB2312" w:eastAsia="仿宋_GB2312" w:cs="仿宋_GB2312"/>
          <w:b w:val="0"/>
          <w:bCs w:val="0"/>
          <w:spacing w:val="-4"/>
          <w:sz w:val="32"/>
          <w:szCs w:val="32"/>
          <w:lang w:eastAsia="zh-CN"/>
        </w:rPr>
        <w:t>，让上访</w:t>
      </w:r>
      <w:r>
        <w:rPr>
          <w:rStyle w:val="21"/>
          <w:rFonts w:hint="eastAsia" w:ascii="仿宋_GB2312" w:hAnsi="仿宋_GB2312" w:eastAsia="仿宋_GB2312" w:cs="仿宋_GB2312"/>
          <w:b w:val="0"/>
          <w:bCs w:val="0"/>
          <w:spacing w:val="-4"/>
          <w:sz w:val="32"/>
          <w:szCs w:val="32"/>
        </w:rPr>
        <w:t>群众满意。</w:t>
      </w:r>
    </w:p>
    <w:p>
      <w:pPr>
        <w:keepNext w:val="0"/>
        <w:keepLines w:val="0"/>
        <w:pageBreakBefore w:val="0"/>
        <w:widowControl w:val="0"/>
        <w:kinsoku/>
        <w:wordWrap/>
        <w:overflowPunct/>
        <w:topLinePunct w:val="0"/>
        <w:autoSpaceDE/>
        <w:autoSpaceDN/>
        <w:bidi w:val="0"/>
        <w:adjustRightInd/>
        <w:snapToGrid/>
        <w:spacing w:line="60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仿宋_GB2312" w:eastAsia="仿宋_GB2312" w:cs="仿宋_GB2312"/>
          <w:b w:val="0"/>
          <w:bCs w:val="0"/>
          <w:spacing w:val="-4"/>
          <w:sz w:val="32"/>
          <w:szCs w:val="32"/>
        </w:rPr>
      </w:pPr>
      <w:r>
        <w:rPr>
          <w:rStyle w:val="21"/>
          <w:rFonts w:hint="eastAsia" w:ascii="仿宋_GB2312" w:hAnsi="仿宋_GB2312" w:eastAsia="仿宋_GB2312" w:cs="仿宋_GB2312"/>
          <w:b w:val="0"/>
          <w:bCs w:val="0"/>
          <w:spacing w:val="-4"/>
          <w:sz w:val="32"/>
          <w:szCs w:val="32"/>
        </w:rPr>
        <w:t>资金分配合理性：项目预算资金分配有测算依据，与本单位项目资金需要相适应。</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21"/>
          <w:rFonts w:ascii="黑体" w:hAnsi="黑体" w:eastAsia="黑体"/>
          <w:spacing w:val="-4"/>
          <w:sz w:val="32"/>
          <w:szCs w:val="32"/>
        </w:rPr>
      </w:pPr>
      <w:r>
        <w:rPr>
          <w:rStyle w:val="21"/>
          <w:rFonts w:hint="eastAsia" w:ascii="黑体" w:hAnsi="黑体" w:eastAsia="黑体"/>
          <w:b w:val="0"/>
          <w:spacing w:val="-4"/>
          <w:sz w:val="32"/>
          <w:szCs w:val="32"/>
        </w:rPr>
        <w:t>五、</w:t>
      </w:r>
      <w:r>
        <w:rPr>
          <w:rStyle w:val="21"/>
          <w:rFonts w:ascii="黑体" w:hAnsi="黑体" w:eastAsia="黑体"/>
          <w:b w:val="0"/>
          <w:spacing w:val="-4"/>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仿宋_GB2312" w:eastAsia="仿宋_GB2312" w:cs="仿宋_GB2312"/>
          <w:b w:val="0"/>
          <w:bCs w:val="0"/>
          <w:spacing w:val="-4"/>
          <w:sz w:val="32"/>
          <w:szCs w:val="32"/>
        </w:rPr>
      </w:pPr>
      <w:r>
        <w:rPr>
          <w:rStyle w:val="21"/>
          <w:rFonts w:hint="eastAsia" w:ascii="仿宋_GB2312" w:hAnsi="仿宋_GB2312" w:eastAsia="仿宋_GB2312" w:cs="仿宋_GB2312"/>
          <w:b w:val="0"/>
          <w:bCs w:val="0"/>
          <w:spacing w:val="-4"/>
          <w:sz w:val="32"/>
          <w:szCs w:val="32"/>
        </w:rPr>
        <w:t>（一）主要经验及做法</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仿宋_GB2312" w:eastAsia="仿宋_GB2312" w:cs="仿宋_GB2312"/>
          <w:b w:val="0"/>
          <w:bCs w:val="0"/>
          <w:spacing w:val="-4"/>
          <w:sz w:val="32"/>
          <w:szCs w:val="32"/>
        </w:rPr>
      </w:pPr>
      <w:r>
        <w:rPr>
          <w:rStyle w:val="21"/>
          <w:rFonts w:hint="eastAsia" w:ascii="仿宋_GB2312" w:hAnsi="仿宋_GB2312" w:eastAsia="仿宋_GB2312" w:cs="仿宋_GB2312"/>
          <w:b w:val="0"/>
          <w:bCs w:val="0"/>
          <w:spacing w:val="-4"/>
          <w:sz w:val="32"/>
          <w:szCs w:val="32"/>
        </w:rPr>
        <w:t>一是严格执行相关财经法律法规，项目经费专款专用，抓好项目实施和绩效评价；二是全面实行项目预算绩效管理，将绩效理念和方法深度融入预算编制、执行、监督全过程，积极构建事前事中事后绩效管理闭环系统。经费预算和实施力求突出业务工作重点，坚持问题导向，聚集社会稳定和长治久安总目标，提升社会关注度、保证项目实施效果。</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仿宋_GB2312" w:eastAsia="仿宋_GB2312" w:cs="仿宋_GB2312"/>
          <w:b w:val="0"/>
          <w:bCs w:val="0"/>
          <w:spacing w:val="-4"/>
          <w:sz w:val="32"/>
          <w:szCs w:val="32"/>
        </w:rPr>
      </w:pPr>
      <w:r>
        <w:rPr>
          <w:rStyle w:val="21"/>
          <w:rFonts w:hint="eastAsia" w:ascii="仿宋_GB2312" w:hAnsi="仿宋_GB2312" w:eastAsia="仿宋_GB2312" w:cs="仿宋_GB2312"/>
          <w:b w:val="0"/>
          <w:bCs w:val="0"/>
          <w:spacing w:val="-4"/>
          <w:sz w:val="32"/>
          <w:szCs w:val="32"/>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仿宋_GB2312" w:eastAsia="仿宋_GB2312" w:cs="仿宋_GB2312"/>
          <w:b w:val="0"/>
          <w:bCs w:val="0"/>
          <w:spacing w:val="-4"/>
          <w:sz w:val="32"/>
          <w:szCs w:val="32"/>
        </w:rPr>
      </w:pPr>
      <w:r>
        <w:rPr>
          <w:rStyle w:val="21"/>
          <w:rFonts w:hint="eastAsia" w:ascii="仿宋_GB2312" w:hAnsi="仿宋_GB2312" w:eastAsia="仿宋_GB2312" w:cs="仿宋_GB2312"/>
          <w:b w:val="0"/>
          <w:bCs w:val="0"/>
          <w:spacing w:val="-4"/>
          <w:sz w:val="32"/>
          <w:szCs w:val="32"/>
        </w:rPr>
        <w:t>根据本次绩效评价情况，发现预算绩效申报存在绩效目标设置不科学、不合同理的问题。原因为编制的项目自评指标体系不够精细，绩效目标不具体，绩效目标未完全细化，分解工作任务不够具体，部分绩效指标不清晰，在经费支出过程中经济功能精确度有待提高。</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ascii="黑体" w:hAnsi="黑体" w:eastAsia="黑体"/>
          <w:b w:val="0"/>
          <w:spacing w:val="-4"/>
          <w:sz w:val="32"/>
          <w:szCs w:val="32"/>
        </w:rPr>
      </w:pPr>
      <w:r>
        <w:rPr>
          <w:rStyle w:val="21"/>
          <w:rFonts w:hint="eastAsia" w:ascii="黑体" w:hAnsi="黑体" w:eastAsia="黑体"/>
          <w:b w:val="0"/>
          <w:spacing w:val="-4"/>
          <w:sz w:val="32"/>
          <w:szCs w:val="32"/>
        </w:rPr>
        <w:t>六</w:t>
      </w:r>
      <w:r>
        <w:rPr>
          <w:rStyle w:val="21"/>
          <w:rFonts w:ascii="黑体" w:hAnsi="黑体" w:eastAsia="黑体"/>
          <w:b w:val="0"/>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21"/>
          <w:rFonts w:hint="eastAsia" w:ascii="仿宋_GB2312" w:hAnsi="仿宋_GB2312" w:eastAsia="仿宋_GB2312" w:cs="仿宋_GB2312"/>
          <w:b w:val="0"/>
          <w:bCs w:val="0"/>
          <w:spacing w:val="-4"/>
          <w:sz w:val="32"/>
          <w:szCs w:val="32"/>
        </w:rPr>
      </w:pPr>
      <w:r>
        <w:rPr>
          <w:rStyle w:val="21"/>
          <w:rFonts w:hint="eastAsia" w:ascii="仿宋_GB2312" w:hAnsi="仿宋_GB2312" w:eastAsia="仿宋_GB2312" w:cs="仿宋_GB2312"/>
          <w:b w:val="0"/>
          <w:bCs w:val="0"/>
          <w:spacing w:val="-4"/>
          <w:sz w:val="32"/>
          <w:szCs w:val="32"/>
        </w:rPr>
        <w:t>今后</w:t>
      </w:r>
      <w:r>
        <w:rPr>
          <w:rStyle w:val="21"/>
          <w:rFonts w:hint="eastAsia" w:ascii="仿宋_GB2312" w:hAnsi="仿宋_GB2312" w:eastAsia="仿宋_GB2312" w:cs="仿宋_GB2312"/>
          <w:b w:val="0"/>
          <w:bCs w:val="0"/>
          <w:spacing w:val="-4"/>
          <w:sz w:val="32"/>
          <w:szCs w:val="32"/>
          <w:lang w:eastAsia="zh-CN"/>
        </w:rPr>
        <w:t>，我局在</w:t>
      </w:r>
      <w:r>
        <w:rPr>
          <w:rStyle w:val="21"/>
          <w:rFonts w:hint="eastAsia" w:ascii="仿宋_GB2312" w:hAnsi="仿宋_GB2312" w:eastAsia="仿宋_GB2312" w:cs="仿宋_GB2312"/>
          <w:b w:val="0"/>
          <w:bCs w:val="0"/>
          <w:spacing w:val="-4"/>
          <w:sz w:val="32"/>
          <w:szCs w:val="32"/>
        </w:rPr>
        <w:t>预算绩效申报时，相关业务处室将全年工作任务细化分解为具体的工作目标，并尽量采取定量的方式制定清晰、可衡量的绩效指标，提高项目使用经济功能精确度。</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21"/>
          <w:rFonts w:ascii="黑体" w:hAnsi="黑体" w:eastAsia="黑体"/>
          <w:b w:val="0"/>
          <w:spacing w:val="-4"/>
          <w:sz w:val="32"/>
          <w:szCs w:val="32"/>
        </w:rPr>
      </w:pPr>
      <w:r>
        <w:rPr>
          <w:rStyle w:val="21"/>
          <w:rFonts w:hint="eastAsia" w:ascii="黑体" w:hAnsi="黑体" w:eastAsia="黑体"/>
          <w:b w:val="0"/>
          <w:spacing w:val="-4"/>
          <w:sz w:val="32"/>
          <w:szCs w:val="32"/>
        </w:rPr>
        <w:t>七、其他需要说明的问题</w:t>
      </w:r>
    </w:p>
    <w:p>
      <w:pPr>
        <w:keepNext w:val="0"/>
        <w:keepLines w:val="0"/>
        <w:pageBreakBefore w:val="0"/>
        <w:widowControl w:val="0"/>
        <w:tabs>
          <w:tab w:val="left" w:pos="1477"/>
        </w:tabs>
        <w:kinsoku/>
        <w:wordWrap/>
        <w:overflowPunct/>
        <w:topLinePunct w:val="0"/>
        <w:autoSpaceDE/>
        <w:autoSpaceDN/>
        <w:bidi w:val="0"/>
        <w:adjustRightInd/>
        <w:snapToGrid/>
        <w:spacing w:line="600" w:lineRule="exact"/>
        <w:ind w:firstLine="567"/>
        <w:textAlignment w:val="auto"/>
        <w:rPr>
          <w:rStyle w:val="21"/>
          <w:rFonts w:ascii="仿宋" w:hAnsi="仿宋" w:eastAsia="仿宋"/>
          <w:b w:val="0"/>
          <w:spacing w:val="-4"/>
          <w:sz w:val="32"/>
          <w:szCs w:val="32"/>
        </w:rPr>
      </w:pPr>
      <w:r>
        <w:rPr>
          <w:rStyle w:val="21"/>
          <w:rFonts w:hint="eastAsia" w:ascii="仿宋" w:hAnsi="仿宋" w:eastAsia="仿宋"/>
          <w:b w:val="0"/>
          <w:spacing w:val="-4"/>
          <w:sz w:val="32"/>
          <w:szCs w:val="32"/>
          <w:lang w:eastAsia="zh-CN"/>
        </w:rPr>
        <w:t>无</w:t>
      </w:r>
      <w:r>
        <w:rPr>
          <w:rStyle w:val="21"/>
          <w:rFonts w:hint="eastAsia" w:ascii="仿宋" w:hAnsi="仿宋" w:eastAsia="仿宋"/>
          <w:b w:val="0"/>
          <w:spacing w:val="-4"/>
          <w:sz w:val="32"/>
          <w:szCs w:val="32"/>
          <w:lang w:eastAsia="zh-CN"/>
        </w:rPr>
        <w:tab/>
      </w: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5"/>
          <w:jc w:val="center"/>
        </w:pPr>
      </w:p>
    </w:sdtContent>
  </w:sdt>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A64BC7"/>
    <w:multiLevelType w:val="singleLevel"/>
    <w:tmpl w:val="A8A64BC7"/>
    <w:lvl w:ilvl="0" w:tentative="0">
      <w:start w:val="3"/>
      <w:numFmt w:val="chineseCounting"/>
      <w:suff w:val="nothing"/>
      <w:lvlText w:val="%1、"/>
      <w:lvlJc w:val="left"/>
      <w:rPr>
        <w:rFonts w:hint="eastAsia"/>
      </w:rPr>
    </w:lvl>
  </w:abstractNum>
  <w:abstractNum w:abstractNumId="1">
    <w:nsid w:val="12B1A99B"/>
    <w:multiLevelType w:val="singleLevel"/>
    <w:tmpl w:val="12B1A99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M3N2I4NDY5NDczODNlODUyNDQ4M2Y3ZWI3MDAyZDUifQ=="/>
  </w:docVars>
  <w:rsids>
    <w:rsidRoot w:val="00CA6457"/>
    <w:rsid w:val="000110C4"/>
    <w:rsid w:val="00037D50"/>
    <w:rsid w:val="0005416C"/>
    <w:rsid w:val="00056465"/>
    <w:rsid w:val="001028C5"/>
    <w:rsid w:val="00102DFF"/>
    <w:rsid w:val="00121AE4"/>
    <w:rsid w:val="0014601B"/>
    <w:rsid w:val="00146AAD"/>
    <w:rsid w:val="00150F05"/>
    <w:rsid w:val="00176C6D"/>
    <w:rsid w:val="001B3A40"/>
    <w:rsid w:val="001C37B8"/>
    <w:rsid w:val="00273CCD"/>
    <w:rsid w:val="00291BC0"/>
    <w:rsid w:val="00311DBE"/>
    <w:rsid w:val="003143B2"/>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2F43727"/>
    <w:rsid w:val="031B2C7F"/>
    <w:rsid w:val="03A6244D"/>
    <w:rsid w:val="048B5D65"/>
    <w:rsid w:val="054B5371"/>
    <w:rsid w:val="05BC1DCB"/>
    <w:rsid w:val="071C3C20"/>
    <w:rsid w:val="090A07BB"/>
    <w:rsid w:val="099A5145"/>
    <w:rsid w:val="0B696551"/>
    <w:rsid w:val="0C120997"/>
    <w:rsid w:val="0CB44F22"/>
    <w:rsid w:val="0CBD60B5"/>
    <w:rsid w:val="0D4947F0"/>
    <w:rsid w:val="0DA11FD2"/>
    <w:rsid w:val="0DD979BE"/>
    <w:rsid w:val="0E891EC0"/>
    <w:rsid w:val="12863E8D"/>
    <w:rsid w:val="148C1C67"/>
    <w:rsid w:val="14B460BF"/>
    <w:rsid w:val="151E7250"/>
    <w:rsid w:val="181D2B9D"/>
    <w:rsid w:val="18221F62"/>
    <w:rsid w:val="189F7A56"/>
    <w:rsid w:val="19770271"/>
    <w:rsid w:val="1A3E722E"/>
    <w:rsid w:val="1B79458F"/>
    <w:rsid w:val="1C616E06"/>
    <w:rsid w:val="1F9000F9"/>
    <w:rsid w:val="22417E77"/>
    <w:rsid w:val="2482795F"/>
    <w:rsid w:val="24AF1E06"/>
    <w:rsid w:val="24DD5B8E"/>
    <w:rsid w:val="25951FC5"/>
    <w:rsid w:val="261A071C"/>
    <w:rsid w:val="279425A8"/>
    <w:rsid w:val="29634188"/>
    <w:rsid w:val="2E81758A"/>
    <w:rsid w:val="2EBF00B3"/>
    <w:rsid w:val="305111DE"/>
    <w:rsid w:val="31E225BA"/>
    <w:rsid w:val="31FB02A6"/>
    <w:rsid w:val="33F151B2"/>
    <w:rsid w:val="34312B3D"/>
    <w:rsid w:val="34ED7013"/>
    <w:rsid w:val="356913C4"/>
    <w:rsid w:val="35F03248"/>
    <w:rsid w:val="38CA4224"/>
    <w:rsid w:val="3BAC19BF"/>
    <w:rsid w:val="3BC82C9D"/>
    <w:rsid w:val="3CE867B4"/>
    <w:rsid w:val="3E4E6DD9"/>
    <w:rsid w:val="3FD030C7"/>
    <w:rsid w:val="4048049F"/>
    <w:rsid w:val="414F5450"/>
    <w:rsid w:val="420C765B"/>
    <w:rsid w:val="440F6F8F"/>
    <w:rsid w:val="446C73A3"/>
    <w:rsid w:val="44B67FDA"/>
    <w:rsid w:val="45D93C4F"/>
    <w:rsid w:val="476127D4"/>
    <w:rsid w:val="478A6B4C"/>
    <w:rsid w:val="496658A3"/>
    <w:rsid w:val="49747FC0"/>
    <w:rsid w:val="4B7D0C82"/>
    <w:rsid w:val="4D2606A1"/>
    <w:rsid w:val="4D40640B"/>
    <w:rsid w:val="4D424AAD"/>
    <w:rsid w:val="4F557D47"/>
    <w:rsid w:val="51E41C83"/>
    <w:rsid w:val="51EA5EC9"/>
    <w:rsid w:val="52C35B14"/>
    <w:rsid w:val="558A2665"/>
    <w:rsid w:val="55A33DE9"/>
    <w:rsid w:val="55EA33B8"/>
    <w:rsid w:val="5D3A69D3"/>
    <w:rsid w:val="5D5E2815"/>
    <w:rsid w:val="5F275E09"/>
    <w:rsid w:val="60430294"/>
    <w:rsid w:val="61442D85"/>
    <w:rsid w:val="61A77D86"/>
    <w:rsid w:val="61DC0DF0"/>
    <w:rsid w:val="63DF78FE"/>
    <w:rsid w:val="6949630A"/>
    <w:rsid w:val="6C0A7EB8"/>
    <w:rsid w:val="6D202C18"/>
    <w:rsid w:val="6E276AFF"/>
    <w:rsid w:val="6E3C70F4"/>
    <w:rsid w:val="6EED5F9B"/>
    <w:rsid w:val="6F286FD3"/>
    <w:rsid w:val="70205EFC"/>
    <w:rsid w:val="710B6BAC"/>
    <w:rsid w:val="7376144F"/>
    <w:rsid w:val="738D5656"/>
    <w:rsid w:val="74AE71CE"/>
    <w:rsid w:val="777C610E"/>
    <w:rsid w:val="78D8023F"/>
    <w:rsid w:val="79102FB2"/>
    <w:rsid w:val="7D723F53"/>
    <w:rsid w:val="7F15685B"/>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5">
    <w:name w:val="heading 2"/>
    <w:basedOn w:val="1"/>
    <w:next w:val="1"/>
    <w:link w:val="24"/>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6">
    <w:name w:val="heading 3"/>
    <w:basedOn w:val="1"/>
    <w:next w:val="1"/>
    <w:link w:val="25"/>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7">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8">
    <w:name w:val="heading 5"/>
    <w:basedOn w:val="1"/>
    <w:next w:val="1"/>
    <w:link w:val="27"/>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9">
    <w:name w:val="heading 6"/>
    <w:basedOn w:val="1"/>
    <w:next w:val="1"/>
    <w:link w:val="28"/>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0">
    <w:name w:val="heading 7"/>
    <w:basedOn w:val="1"/>
    <w:next w:val="1"/>
    <w:link w:val="29"/>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1">
    <w:name w:val="heading 8"/>
    <w:basedOn w:val="1"/>
    <w:next w:val="1"/>
    <w:link w:val="30"/>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2">
    <w:name w:val="heading 9"/>
    <w:basedOn w:val="1"/>
    <w:next w:val="1"/>
    <w:link w:val="31"/>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0">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jc w:val="both"/>
    </w:pPr>
  </w:style>
  <w:style w:type="paragraph" w:styleId="3">
    <w:name w:val="Body Text Indent"/>
    <w:basedOn w:val="1"/>
    <w:qFormat/>
    <w:uiPriority w:val="0"/>
    <w:pPr>
      <w:spacing w:line="360" w:lineRule="auto"/>
      <w:ind w:firstLine="540"/>
      <w:jc w:val="left"/>
    </w:pPr>
    <w:rPr>
      <w:rFonts w:ascii="仿宋_GB2312" w:eastAsia="仿宋_GB2312"/>
      <w:sz w:val="32"/>
      <w:szCs w:val="32"/>
    </w:rPr>
  </w:style>
  <w:style w:type="paragraph" w:styleId="13">
    <w:name w:val="Normal Indent"/>
    <w:basedOn w:val="1"/>
    <w:qFormat/>
    <w:uiPriority w:val="99"/>
    <w:pPr>
      <w:ind w:firstLine="420" w:firstLineChars="200"/>
    </w:pPr>
  </w:style>
  <w:style w:type="paragraph" w:styleId="14">
    <w:name w:val="Balloon Text"/>
    <w:basedOn w:val="1"/>
    <w:link w:val="48"/>
    <w:autoRedefine/>
    <w:semiHidden/>
    <w:unhideWhenUsed/>
    <w:qFormat/>
    <w:uiPriority w:val="99"/>
    <w:rPr>
      <w:sz w:val="18"/>
      <w:szCs w:val="18"/>
    </w:rPr>
  </w:style>
  <w:style w:type="paragraph" w:styleId="15">
    <w:name w:val="footer"/>
    <w:basedOn w:val="1"/>
    <w:link w:val="47"/>
    <w:autoRedefine/>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6"/>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3"/>
    <w:autoRedefine/>
    <w:qFormat/>
    <w:uiPriority w:val="11"/>
    <w:pPr>
      <w:widowControl/>
      <w:spacing w:after="60"/>
      <w:jc w:val="center"/>
      <w:outlineLvl w:val="1"/>
    </w:pPr>
    <w:rPr>
      <w:rFonts w:asciiTheme="majorHAnsi" w:hAnsiTheme="majorHAnsi" w:eastAsiaTheme="majorEastAsia"/>
      <w:kern w:val="0"/>
      <w:sz w:val="24"/>
    </w:rPr>
  </w:style>
  <w:style w:type="paragraph" w:styleId="18">
    <w:name w:val="Title"/>
    <w:basedOn w:val="1"/>
    <w:next w:val="1"/>
    <w:link w:val="32"/>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1">
    <w:name w:val="Strong"/>
    <w:basedOn w:val="20"/>
    <w:autoRedefine/>
    <w:qFormat/>
    <w:uiPriority w:val="0"/>
    <w:rPr>
      <w:b/>
      <w:bCs/>
    </w:rPr>
  </w:style>
  <w:style w:type="character" w:styleId="22">
    <w:name w:val="Emphasis"/>
    <w:basedOn w:val="20"/>
    <w:autoRedefine/>
    <w:qFormat/>
    <w:uiPriority w:val="20"/>
    <w:rPr>
      <w:rFonts w:asciiTheme="minorHAnsi" w:hAnsiTheme="minorHAnsi"/>
      <w:b/>
      <w:i/>
      <w:iCs/>
    </w:rPr>
  </w:style>
  <w:style w:type="character" w:customStyle="1" w:styleId="23">
    <w:name w:val="标题 1 Char"/>
    <w:basedOn w:val="20"/>
    <w:link w:val="4"/>
    <w:autoRedefine/>
    <w:qFormat/>
    <w:uiPriority w:val="9"/>
    <w:rPr>
      <w:rFonts w:asciiTheme="majorHAnsi" w:hAnsiTheme="majorHAnsi" w:eastAsiaTheme="majorEastAsia"/>
      <w:b/>
      <w:bCs/>
      <w:kern w:val="32"/>
      <w:sz w:val="32"/>
      <w:szCs w:val="32"/>
    </w:rPr>
  </w:style>
  <w:style w:type="character" w:customStyle="1" w:styleId="24">
    <w:name w:val="标题 2 Char"/>
    <w:basedOn w:val="20"/>
    <w:link w:val="5"/>
    <w:autoRedefine/>
    <w:semiHidden/>
    <w:qFormat/>
    <w:uiPriority w:val="9"/>
    <w:rPr>
      <w:rFonts w:asciiTheme="majorHAnsi" w:hAnsiTheme="majorHAnsi" w:eastAsiaTheme="majorEastAsia"/>
      <w:b/>
      <w:bCs/>
      <w:i/>
      <w:iCs/>
      <w:sz w:val="28"/>
      <w:szCs w:val="28"/>
    </w:rPr>
  </w:style>
  <w:style w:type="character" w:customStyle="1" w:styleId="25">
    <w:name w:val="标题 3 Char"/>
    <w:basedOn w:val="20"/>
    <w:link w:val="6"/>
    <w:autoRedefine/>
    <w:semiHidden/>
    <w:qFormat/>
    <w:uiPriority w:val="9"/>
    <w:rPr>
      <w:rFonts w:asciiTheme="majorHAnsi" w:hAnsiTheme="majorHAnsi" w:eastAsiaTheme="majorEastAsia"/>
      <w:b/>
      <w:bCs/>
      <w:sz w:val="26"/>
      <w:szCs w:val="26"/>
    </w:rPr>
  </w:style>
  <w:style w:type="character" w:customStyle="1" w:styleId="26">
    <w:name w:val="标题 4 Char"/>
    <w:basedOn w:val="20"/>
    <w:link w:val="7"/>
    <w:autoRedefine/>
    <w:qFormat/>
    <w:uiPriority w:val="9"/>
    <w:rPr>
      <w:b/>
      <w:bCs/>
      <w:sz w:val="28"/>
      <w:szCs w:val="28"/>
    </w:rPr>
  </w:style>
  <w:style w:type="character" w:customStyle="1" w:styleId="27">
    <w:name w:val="标题 5 Char"/>
    <w:basedOn w:val="20"/>
    <w:link w:val="8"/>
    <w:autoRedefine/>
    <w:semiHidden/>
    <w:qFormat/>
    <w:uiPriority w:val="9"/>
    <w:rPr>
      <w:b/>
      <w:bCs/>
      <w:i/>
      <w:iCs/>
      <w:sz w:val="26"/>
      <w:szCs w:val="26"/>
    </w:rPr>
  </w:style>
  <w:style w:type="character" w:customStyle="1" w:styleId="28">
    <w:name w:val="标题 6 Char"/>
    <w:basedOn w:val="20"/>
    <w:link w:val="9"/>
    <w:autoRedefine/>
    <w:semiHidden/>
    <w:qFormat/>
    <w:uiPriority w:val="9"/>
    <w:rPr>
      <w:b/>
      <w:bCs/>
    </w:rPr>
  </w:style>
  <w:style w:type="character" w:customStyle="1" w:styleId="29">
    <w:name w:val="标题 7 Char"/>
    <w:basedOn w:val="20"/>
    <w:link w:val="10"/>
    <w:autoRedefine/>
    <w:semiHidden/>
    <w:qFormat/>
    <w:uiPriority w:val="9"/>
    <w:rPr>
      <w:sz w:val="24"/>
      <w:szCs w:val="24"/>
    </w:rPr>
  </w:style>
  <w:style w:type="character" w:customStyle="1" w:styleId="30">
    <w:name w:val="标题 8 Char"/>
    <w:basedOn w:val="20"/>
    <w:link w:val="11"/>
    <w:autoRedefine/>
    <w:semiHidden/>
    <w:qFormat/>
    <w:uiPriority w:val="9"/>
    <w:rPr>
      <w:i/>
      <w:iCs/>
      <w:sz w:val="24"/>
      <w:szCs w:val="24"/>
    </w:rPr>
  </w:style>
  <w:style w:type="character" w:customStyle="1" w:styleId="31">
    <w:name w:val="标题 9 Char"/>
    <w:basedOn w:val="20"/>
    <w:link w:val="12"/>
    <w:autoRedefine/>
    <w:semiHidden/>
    <w:qFormat/>
    <w:uiPriority w:val="9"/>
    <w:rPr>
      <w:rFonts w:asciiTheme="majorHAnsi" w:hAnsiTheme="majorHAnsi" w:eastAsiaTheme="majorEastAsia"/>
    </w:rPr>
  </w:style>
  <w:style w:type="character" w:customStyle="1" w:styleId="32">
    <w:name w:val="标题 Char"/>
    <w:basedOn w:val="20"/>
    <w:link w:val="18"/>
    <w:autoRedefine/>
    <w:qFormat/>
    <w:uiPriority w:val="10"/>
    <w:rPr>
      <w:rFonts w:asciiTheme="majorHAnsi" w:hAnsiTheme="majorHAnsi" w:eastAsiaTheme="majorEastAsia"/>
      <w:b/>
      <w:bCs/>
      <w:kern w:val="28"/>
      <w:sz w:val="32"/>
      <w:szCs w:val="32"/>
    </w:rPr>
  </w:style>
  <w:style w:type="character" w:customStyle="1" w:styleId="33">
    <w:name w:val="副标题 Char"/>
    <w:basedOn w:val="20"/>
    <w:link w:val="17"/>
    <w:autoRedefine/>
    <w:qFormat/>
    <w:uiPriority w:val="11"/>
    <w:rPr>
      <w:rFonts w:asciiTheme="majorHAnsi" w:hAnsiTheme="majorHAnsi" w:eastAsiaTheme="majorEastAsia"/>
      <w:sz w:val="24"/>
      <w:szCs w:val="24"/>
    </w:rPr>
  </w:style>
  <w:style w:type="paragraph" w:styleId="34">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5">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6">
    <w:name w:val="Quote"/>
    <w:basedOn w:val="1"/>
    <w:next w:val="1"/>
    <w:link w:val="37"/>
    <w:autoRedefine/>
    <w:qFormat/>
    <w:uiPriority w:val="29"/>
    <w:pPr>
      <w:widowControl/>
      <w:jc w:val="left"/>
    </w:pPr>
    <w:rPr>
      <w:rFonts w:asciiTheme="minorHAnsi" w:hAnsiTheme="minorHAnsi" w:eastAsiaTheme="minorEastAsia"/>
      <w:i/>
      <w:kern w:val="0"/>
      <w:sz w:val="24"/>
    </w:rPr>
  </w:style>
  <w:style w:type="character" w:customStyle="1" w:styleId="37">
    <w:name w:val="引用 Char"/>
    <w:basedOn w:val="20"/>
    <w:link w:val="36"/>
    <w:autoRedefine/>
    <w:qFormat/>
    <w:uiPriority w:val="29"/>
    <w:rPr>
      <w:i/>
      <w:sz w:val="24"/>
      <w:szCs w:val="24"/>
    </w:rPr>
  </w:style>
  <w:style w:type="paragraph" w:styleId="38">
    <w:name w:val="Intense Quote"/>
    <w:basedOn w:val="1"/>
    <w:next w:val="1"/>
    <w:link w:val="39"/>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20"/>
    <w:link w:val="38"/>
    <w:autoRedefine/>
    <w:qFormat/>
    <w:uiPriority w:val="30"/>
    <w:rPr>
      <w:b/>
      <w:i/>
      <w:sz w:val="24"/>
    </w:rPr>
  </w:style>
  <w:style w:type="character" w:customStyle="1" w:styleId="40">
    <w:name w:val="不明显强调1"/>
    <w:autoRedefine/>
    <w:qFormat/>
    <w:uiPriority w:val="19"/>
    <w:rPr>
      <w:i/>
      <w:color w:val="585858" w:themeColor="text1" w:themeTint="A6"/>
    </w:rPr>
  </w:style>
  <w:style w:type="character" w:customStyle="1" w:styleId="41">
    <w:name w:val="明显强调1"/>
    <w:basedOn w:val="20"/>
    <w:autoRedefine/>
    <w:qFormat/>
    <w:uiPriority w:val="21"/>
    <w:rPr>
      <w:b/>
      <w:i/>
      <w:sz w:val="24"/>
      <w:szCs w:val="24"/>
      <w:u w:val="single"/>
    </w:rPr>
  </w:style>
  <w:style w:type="character" w:customStyle="1" w:styleId="42">
    <w:name w:val="不明显参考1"/>
    <w:basedOn w:val="20"/>
    <w:autoRedefine/>
    <w:qFormat/>
    <w:uiPriority w:val="31"/>
    <w:rPr>
      <w:sz w:val="24"/>
      <w:szCs w:val="24"/>
      <w:u w:val="single"/>
    </w:rPr>
  </w:style>
  <w:style w:type="character" w:customStyle="1" w:styleId="43">
    <w:name w:val="明显参考1"/>
    <w:basedOn w:val="20"/>
    <w:autoRedefine/>
    <w:qFormat/>
    <w:uiPriority w:val="32"/>
    <w:rPr>
      <w:b/>
      <w:sz w:val="24"/>
      <w:u w:val="single"/>
    </w:rPr>
  </w:style>
  <w:style w:type="character" w:customStyle="1" w:styleId="44">
    <w:name w:val="书籍标题1"/>
    <w:basedOn w:val="20"/>
    <w:autoRedefine/>
    <w:qFormat/>
    <w:uiPriority w:val="33"/>
    <w:rPr>
      <w:rFonts w:asciiTheme="majorHAnsi" w:hAnsiTheme="majorHAnsi" w:eastAsiaTheme="majorEastAsia"/>
      <w:b/>
      <w:i/>
      <w:sz w:val="24"/>
      <w:szCs w:val="24"/>
    </w:rPr>
  </w:style>
  <w:style w:type="paragraph" w:customStyle="1" w:styleId="45">
    <w:name w:val="TOC 标题1"/>
    <w:basedOn w:val="4"/>
    <w:next w:val="1"/>
    <w:autoRedefine/>
    <w:semiHidden/>
    <w:unhideWhenUsed/>
    <w:qFormat/>
    <w:uiPriority w:val="39"/>
    <w:pPr>
      <w:outlineLvl w:val="9"/>
    </w:pPr>
    <w:rPr>
      <w:lang w:eastAsia="en-US" w:bidi="en-US"/>
    </w:rPr>
  </w:style>
  <w:style w:type="character" w:customStyle="1" w:styleId="46">
    <w:name w:val="页眉 Char"/>
    <w:basedOn w:val="20"/>
    <w:link w:val="16"/>
    <w:autoRedefine/>
    <w:qFormat/>
    <w:uiPriority w:val="99"/>
    <w:rPr>
      <w:rFonts w:ascii="Calibri" w:hAnsi="Calibri" w:eastAsia="宋体"/>
      <w:kern w:val="2"/>
      <w:sz w:val="18"/>
      <w:szCs w:val="18"/>
    </w:rPr>
  </w:style>
  <w:style w:type="character" w:customStyle="1" w:styleId="47">
    <w:name w:val="页脚 Char"/>
    <w:basedOn w:val="20"/>
    <w:link w:val="15"/>
    <w:autoRedefine/>
    <w:qFormat/>
    <w:uiPriority w:val="99"/>
    <w:rPr>
      <w:rFonts w:ascii="Calibri" w:hAnsi="Calibri" w:eastAsia="宋体"/>
      <w:kern w:val="2"/>
      <w:sz w:val="18"/>
      <w:szCs w:val="18"/>
    </w:rPr>
  </w:style>
  <w:style w:type="character" w:customStyle="1" w:styleId="48">
    <w:name w:val="批注框文本 Char"/>
    <w:basedOn w:val="20"/>
    <w:link w:val="14"/>
    <w:autoRedefine/>
    <w:semiHidden/>
    <w:qFormat/>
    <w:uiPriority w:val="99"/>
    <w:rPr>
      <w:rFonts w:ascii="Times New Roman" w:hAnsi="Times New Roman" w:eastAsia="宋体"/>
      <w:kern w:val="2"/>
      <w:sz w:val="18"/>
      <w:szCs w:val="18"/>
    </w:rPr>
  </w:style>
  <w:style w:type="paragraph" w:customStyle="1" w:styleId="49">
    <w:name w:val="无间隔1"/>
    <w:basedOn w:val="1"/>
    <w:next w:val="6"/>
    <w:autoRedefine/>
    <w:qFormat/>
    <w:uiPriority w:val="0"/>
    <w:pPr>
      <w:jc w:val="left"/>
    </w:pPr>
    <w:rPr>
      <w:kern w:val="0"/>
      <w:sz w:val="22"/>
      <w:szCs w:val="22"/>
    </w:rPr>
  </w:style>
  <w:style w:type="character" w:customStyle="1" w:styleId="50">
    <w:name w:val="font01"/>
    <w:basedOn w:val="20"/>
    <w:autoRedefine/>
    <w:qFormat/>
    <w:uiPriority w:val="0"/>
    <w:rPr>
      <w:rFonts w:hint="eastAsia" w:ascii="宋体" w:hAnsi="宋体" w:eastAsia="宋体" w:cs="宋体"/>
      <w:b/>
      <w:bCs/>
      <w:color w:val="000000"/>
      <w:sz w:val="32"/>
      <w:szCs w:val="32"/>
      <w:u w:val="none"/>
    </w:rPr>
  </w:style>
  <w:style w:type="character" w:customStyle="1" w:styleId="51">
    <w:name w:val="font21"/>
    <w:basedOn w:val="20"/>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4671</Words>
  <Characters>4845</Characters>
  <Lines>3</Lines>
  <Paragraphs>1</Paragraphs>
  <TotalTime>4</TotalTime>
  <ScaleCrop>false</ScaleCrop>
  <LinksUpToDate>false</LinksUpToDate>
  <CharactersWithSpaces>4868</CharactersWithSpaces>
  <Application>WPS Office_12.8.2.16984_F1E327BC-269C-435d-A152-05C5408002CA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2022-03-28T05:02:00Z</dcterms:created>
  <dc:creator>赵 恺（预算处）</dc:creator>
  <cp:lastModifiedBy>胡新锋</cp:lastModifiedBy>
  <cp:lastPrinted>2022-04-08T09:51:00Z</cp:lastPrinted>
  <dcterms:modified xsi:type="dcterms:W3CDTF">2024-08-09T11:05:52Z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2052-12.8.2.16984</vt:lpwstr>
  </property>
  <property fmtid="{D5CDD505-2E9C-101B-9397-08002B2CF9AE}" pid="3" name="ICV">
    <vt:lpwstr>7D7D901A0D474D57BCA0A53252B9D510</vt:lpwstr>
  </property>
</Properties>
</file>