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20"/>
          <w:rFonts w:hint="eastAsia" w:ascii="楷体" w:hAnsi="楷体" w:eastAsia="楷体"/>
          <w:spacing w:val="-4"/>
          <w:sz w:val="32"/>
          <w:szCs w:val="32"/>
        </w:rPr>
        <w:t>2024</w:t>
      </w:r>
      <w:bookmarkStart w:id="0" w:name="_GoBack"/>
      <w:bookmarkEnd w:id="0"/>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20"/>
          <w:rFonts w:hint="eastAsia" w:ascii="楷体" w:hAnsi="楷体" w:eastAsia="楷体"/>
          <w:spacing w:val="-4"/>
          <w:sz w:val="32"/>
          <w:szCs w:val="32"/>
        </w:rPr>
        <w:t>信访业务项目经费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20"/>
          <w:rFonts w:hint="eastAsia" w:ascii="楷体" w:hAnsi="楷体" w:eastAsia="楷体"/>
          <w:spacing w:val="-4"/>
          <w:sz w:val="28"/>
          <w:szCs w:val="28"/>
        </w:rPr>
        <w:t>新疆维吾尔自治区信访局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20"/>
          <w:rFonts w:hint="eastAsia" w:ascii="楷体" w:hAnsi="楷体" w:eastAsia="楷体"/>
          <w:spacing w:val="-4"/>
          <w:sz w:val="28"/>
          <w:szCs w:val="28"/>
        </w:rPr>
        <w:t>新疆维吾尔自治区信访局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20"/>
          <w:rFonts w:hint="eastAsia" w:ascii="楷体" w:hAnsi="楷体" w:eastAsia="楷体"/>
          <w:spacing w:val="-4"/>
          <w:sz w:val="32"/>
          <w:szCs w:val="32"/>
        </w:rPr>
        <w:t>杨波</w:t>
      </w:r>
    </w:p>
    <w:p>
      <w:pPr>
        <w:spacing w:line="540" w:lineRule="exact"/>
        <w:ind w:left="273" w:firstLine="567"/>
        <w:rPr>
          <w:rStyle w:val="20"/>
          <w:rFonts w:ascii="楷体" w:hAnsi="楷体" w:eastAsia="楷体"/>
          <w:spacing w:val="-4"/>
          <w:sz w:val="32"/>
          <w:szCs w:val="32"/>
        </w:rPr>
      </w:pPr>
      <w:r>
        <w:rPr>
          <w:rFonts w:hint="eastAsia" w:hAnsi="宋体" w:eastAsia="仿宋_GB2312" w:cs="宋体"/>
          <w:kern w:val="0"/>
          <w:sz w:val="36"/>
          <w:szCs w:val="36"/>
        </w:rPr>
        <w:t>填报时间：</w:t>
      </w:r>
      <w:r>
        <w:rPr>
          <w:rStyle w:val="20"/>
          <w:rFonts w:hint="eastAsia" w:ascii="楷体" w:hAnsi="楷体" w:eastAsia="楷体"/>
          <w:spacing w:val="-4"/>
          <w:sz w:val="32"/>
          <w:szCs w:val="32"/>
        </w:rPr>
        <w:t>2025年03月17日</w:t>
      </w:r>
    </w:p>
    <w:p>
      <w:pPr>
        <w:spacing w:line="700" w:lineRule="exact"/>
        <w:ind w:firstLine="708" w:firstLineChars="236"/>
        <w:jc w:val="left"/>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Style w:val="20"/>
          <w:rFonts w:ascii="黑体" w:hAnsi="黑体" w:eastAsia="黑体"/>
          <w:b w:val="0"/>
          <w:spacing w:val="-4"/>
          <w:sz w:val="32"/>
          <w:szCs w:val="32"/>
        </w:rPr>
      </w:pPr>
      <w:r>
        <w:rPr>
          <w:rStyle w:val="20"/>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20"/>
          <w:rFonts w:ascii="楷体" w:hAnsi="楷体" w:eastAsia="楷体"/>
          <w:spacing w:val="-4"/>
          <w:sz w:val="32"/>
          <w:szCs w:val="32"/>
        </w:rPr>
      </w:pPr>
      <w:r>
        <w:rPr>
          <w:rStyle w:val="20"/>
          <w:rFonts w:hint="eastAsia" w:ascii="楷体" w:hAnsi="楷体" w:eastAsia="楷体"/>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20"/>
          <w:rFonts w:hint="eastAsia" w:ascii="仿宋_GB2312" w:hAnsi="楷体" w:eastAsia="仿宋_GB2312" w:cs="Times New Roman"/>
          <w:b/>
          <w:bCs w:val="0"/>
          <w:spacing w:val="-4"/>
          <w:sz w:val="32"/>
          <w:szCs w:val="32"/>
          <w:lang w:val="en-US" w:eastAsia="zh-CN"/>
        </w:rPr>
      </w:pPr>
      <w:r>
        <w:rPr>
          <w:rStyle w:val="20"/>
          <w:rFonts w:hint="eastAsia" w:ascii="仿宋_GB2312" w:hAnsi="楷体" w:eastAsia="仿宋_GB2312" w:cs="Times New Roman"/>
          <w:b/>
          <w:bCs w:val="0"/>
          <w:spacing w:val="-4"/>
          <w:sz w:val="32"/>
          <w:szCs w:val="32"/>
          <w:lang w:val="en-US" w:eastAsia="zh-CN"/>
        </w:rPr>
        <w:t>1、项目背景</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val="0"/>
          <w:spacing w:val="-4"/>
          <w:sz w:val="32"/>
          <w:szCs w:val="32"/>
        </w:rPr>
      </w:pPr>
      <w:r>
        <w:rPr>
          <w:rStyle w:val="20"/>
          <w:rFonts w:hint="eastAsia" w:ascii="仿宋_GB2312" w:hAnsi="楷体" w:eastAsia="仿宋_GB2312" w:cs="Times New Roman"/>
          <w:b w:val="0"/>
          <w:spacing w:val="-4"/>
          <w:sz w:val="32"/>
          <w:szCs w:val="32"/>
        </w:rPr>
        <w:t>信访工作是党和政府工作的重要组成部分，是党和政府联系群众的桥梁和纽带，是发扬民主、体察民情、接受群众监督的重要渠道，是人民群众反映合理诉求、维护自身权益的重要途径，是构建社会主义和谐社会的基础之一。加强信访信息化建设对于进一步做好信访工作、拓宽社情民意表达方式、畅通信访工作渠道、最大限度减少和消除不和谐因素、提高信访工作效率都有着十分重大的意义。</w:t>
      </w:r>
      <w:r>
        <w:rPr>
          <w:rStyle w:val="20"/>
          <w:rFonts w:hint="eastAsia" w:ascii="仿宋_GB2312" w:hAnsi="楷体" w:eastAsia="仿宋_GB2312" w:cs="Times New Roman"/>
          <w:b w:val="0"/>
          <w:spacing w:val="-4"/>
          <w:sz w:val="32"/>
          <w:szCs w:val="32"/>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val="0"/>
          <w:spacing w:val="-4"/>
          <w:sz w:val="32"/>
          <w:szCs w:val="32"/>
        </w:rPr>
        <w:t>根据中共中央、国务院和自治区党委、自治区人民政府及国家信访局关于信访工作的方针、政策和法规，指导全区的信访工作。宣传和贯彻落实《信访工作条例》；了解并掌握信访工作队伍建设情况；组织信访干部的培训；加强、指导信访部门办公自动建设；分析研究信访工作形势，开展调查研究，征集群众建议，及时向自治区党委、自治区人民政府提供信访信息。承办上级领导机关、自治区党委和自治区人民政府领导交办的信访事项，督促检查领导批示件落实情况；向有关单位交办信访事项；督促检查重要信访事项的处理和落实。 自治区党委办公厅、自治区人民政府办公厅《关于调整自治区处理信访突出问题及群体性事件联席会议成员的通知》（新党厅字[2007]9号）、自治区驻京工作组经费（中信联发[2009]5号）设立项目支出专项。</w:t>
      </w:r>
      <w:r>
        <w:rPr>
          <w:rStyle w:val="20"/>
          <w:rFonts w:hint="eastAsia" w:ascii="仿宋_GB2312" w:hAnsi="楷体" w:eastAsia="仿宋_GB2312" w:cs="Times New Roman"/>
          <w:b w:val="0"/>
          <w:spacing w:val="-4"/>
          <w:sz w:val="32"/>
          <w:szCs w:val="32"/>
        </w:rPr>
        <w:cr/>
      </w:r>
      <w:r>
        <w:rPr>
          <w:rStyle w:val="20"/>
          <w:rFonts w:hint="eastAsia" w:ascii="仿宋_GB2312" w:hAnsi="楷体" w:eastAsia="仿宋_GB2312" w:cs="Times New Roman"/>
          <w:b w:val="0"/>
          <w:spacing w:val="-4"/>
          <w:sz w:val="32"/>
          <w:szCs w:val="32"/>
        </w:rPr>
        <w:br w:type="textWrapping"/>
      </w:r>
      <w:r>
        <w:rPr>
          <w:rStyle w:val="20"/>
          <w:rFonts w:hint="eastAsia" w:ascii="楷体" w:hAnsi="楷体" w:eastAsia="楷体"/>
          <w:b w:val="0"/>
          <w:bCs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2、主要内容及实施情况</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楷体" w:hAnsi="楷体" w:eastAsia="楷体"/>
          <w:b w:val="0"/>
          <w:bCs w:val="0"/>
          <w:spacing w:val="-4"/>
          <w:sz w:val="32"/>
          <w:szCs w:val="32"/>
          <w:lang w:val="en-US" w:eastAsia="zh-CN"/>
        </w:rPr>
        <w:t xml:space="preserve">  </w:t>
      </w:r>
      <w:r>
        <w:rPr>
          <w:rStyle w:val="20"/>
          <w:rFonts w:hint="eastAsia" w:ascii="仿宋_GB2312" w:hAnsi="楷体" w:eastAsia="仿宋_GB2312" w:cs="Times New Roman"/>
          <w:b w:val="0"/>
          <w:spacing w:val="-4"/>
          <w:sz w:val="32"/>
          <w:szCs w:val="32"/>
        </w:rPr>
        <w:t>主要内容：自治区信访局坚持以习近平总书记关于信访工作的系列批示指示精神和全国信访工作会议精神为指导，组织协调推动各地各部门坚持以人民为中心的发展思想，以打造阳光信访、责任信访和法治信访为引领，着力推进信访矛盾化解攻坚。开展全面排查化解，中联办交办和区地县三级排查重点信访矛盾。着力抓好集中治理重复信访专项工作。认真贯彻落实中央、自治区党委关于开展集中治理重复信访、化解信访积案专项工作决策部署，全力推动集中治理。着力加强源头预防、解决信访突出问题、化解信访积案和强化业务规范化建设，信访工作发生积极变化，切实维护群众合法权益，促进社会和谐稳定。</w:t>
      </w:r>
      <w:r>
        <w:rPr>
          <w:rStyle w:val="20"/>
          <w:rFonts w:hint="eastAsia" w:ascii="仿宋_GB2312" w:hAnsi="楷体" w:eastAsia="仿宋_GB2312" w:cs="Times New Roman"/>
          <w:b w:val="0"/>
          <w:spacing w:val="-4"/>
          <w:sz w:val="32"/>
          <w:szCs w:val="32"/>
        </w:rPr>
        <w:cr/>
      </w:r>
      <w:r>
        <w:rPr>
          <w:rStyle w:val="20"/>
          <w:rFonts w:hint="eastAsia" w:ascii="楷体" w:hAnsi="楷体" w:eastAsia="楷体"/>
          <w:b w:val="0"/>
          <w:bCs w:val="0"/>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val="0"/>
          <w:spacing w:val="-4"/>
          <w:sz w:val="32"/>
          <w:szCs w:val="32"/>
        </w:rPr>
        <w:t>实施情况：2024年，信访业务项目经费430万元。主要用于信访信息网络运行维护费（网上信息系统驻场维护费、“两微一端”运维费、信访信息系统大数据智能平台和门户网站系统测评费用、网络信息系统风险评估费用、网络连接租用费），驻京信访工作组经费（保安、保洁、接送上访群众车辆运行维护费、赴京工作人员往返路费差旅费、驻京干部用房租金），信访绿色通邮费用，信访干部会议培训，督查处理疑难信访业务案件调研，服务上访群众聘请律师、心理咨询服务等信访业务相关支出。按照《自治区信访局财务管理办法》及局党组会议制度执行，严格落实“三重一大”事项管理规定，涉及经费使用的，均按程序报请驻政法委纪检组派员列席会议，集体讨论，逐一表态通过。切实做到“花钱必问效、无效必问责”。在实施过程中，按照“有多少钱、办多少事”的原则管理使用项目资金，严格控制审批、支付流程，不断健全预算管理体系，提升预算管理水平，确保各项工作的正常开展和运行。资金投入和使用情况：该项目资金投入430万元，资金来源为一般公共预算拨款,执行428.79万元，预算完成率99.7%。</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Style w:val="20"/>
          <w:rFonts w:ascii="楷体" w:hAnsi="楷体" w:eastAsia="楷体"/>
          <w:spacing w:val="-4"/>
          <w:sz w:val="32"/>
          <w:szCs w:val="32"/>
        </w:rPr>
      </w:pPr>
      <w:r>
        <w:rPr>
          <w:rStyle w:val="20"/>
          <w:rFonts w:hint="eastAsia" w:ascii="楷体" w:hAnsi="楷体" w:eastAsia="楷体"/>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val="0"/>
          <w:spacing w:val="-4"/>
          <w:sz w:val="32"/>
          <w:szCs w:val="32"/>
        </w:rPr>
      </w:pPr>
      <w:r>
        <w:rPr>
          <w:rStyle w:val="20"/>
          <w:rFonts w:hint="eastAsia" w:ascii="仿宋_GB2312" w:hAnsi="楷体" w:eastAsia="仿宋_GB2312" w:cs="Times New Roman"/>
          <w:b w:val="0"/>
          <w:spacing w:val="-4"/>
          <w:sz w:val="32"/>
          <w:szCs w:val="32"/>
        </w:rPr>
        <w:t>1、总体目标：全区信访突出问题得到有效缓解，集体上访和群体性事件逐步减少；进京赴自治区上访问题得到及时妥善处置，信访秩序逐步好转；3、长效工作机制逐步完善，形成大信访工作格局；联席会议办公室工作正常运转，应对复杂局面、处理复杂问题的工作水平逐步提高，全力维护新疆社会政治大局稳定。</w:t>
      </w:r>
      <w:r>
        <w:rPr>
          <w:rStyle w:val="20"/>
          <w:rFonts w:hint="eastAsia" w:ascii="仿宋_GB2312" w:hAnsi="楷体" w:eastAsia="仿宋_GB2312" w:cs="Times New Roman"/>
          <w:b w:val="0"/>
          <w:spacing w:val="-4"/>
          <w:sz w:val="32"/>
          <w:szCs w:val="32"/>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val="0"/>
          <w:spacing w:val="-4"/>
          <w:sz w:val="32"/>
          <w:szCs w:val="32"/>
        </w:rPr>
        <w:t>2、阶段性目标：以“为民解难，为党分忧”为使命，结合“创新、协调、绿色、开放、共享”发展理念，以“问题为导向”，不断完善体制机制，创新思路举措，夯实基层基础，着力破解信访难题，狠抓工作落实，推动一大批信访问题解决，维护群众合法权益，促进社会和谐稳定。围绕中央和自治区关于信访工作的一系列决策部署，强化措施，狠抓落实，解决大量群众最关心、最直接、最现实的利益问题。</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Style w:val="20"/>
          <w:rFonts w:ascii="黑体" w:hAnsi="黑体" w:eastAsia="黑体"/>
          <w:b w:val="0"/>
          <w:spacing w:val="-4"/>
          <w:sz w:val="32"/>
          <w:szCs w:val="32"/>
        </w:rPr>
      </w:pPr>
      <w:r>
        <w:rPr>
          <w:rStyle w:val="20"/>
          <w:rFonts w:hint="eastAsia" w:ascii="黑体" w:hAnsi="黑体" w:eastAsia="黑体"/>
          <w:b w:val="0"/>
          <w:spacing w:val="-4"/>
          <w:sz w:val="32"/>
          <w:szCs w:val="32"/>
        </w:rPr>
        <w:t>二、</w:t>
      </w:r>
      <w:r>
        <w:rPr>
          <w:rStyle w:val="20"/>
          <w:rFonts w:hint="eastAsia"/>
          <w:spacing w:val="-4"/>
          <w:sz w:val="32"/>
          <w:szCs w:val="32"/>
        </w:rPr>
        <w:t>绩效评价工作开展情况</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Style w:val="20"/>
          <w:rFonts w:ascii="楷体" w:hAnsi="楷体" w:eastAsia="楷体"/>
          <w:spacing w:val="-4"/>
          <w:sz w:val="32"/>
          <w:szCs w:val="32"/>
        </w:rPr>
      </w:pPr>
      <w:r>
        <w:rPr>
          <w:rStyle w:val="20"/>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20"/>
          <w:rFonts w:hint="eastAsia" w:ascii="仿宋_GB2312" w:hAnsi="楷体" w:eastAsia="仿宋_GB2312" w:cs="Times New Roman"/>
          <w:b/>
          <w:bCs w:val="0"/>
          <w:spacing w:val="-4"/>
          <w:sz w:val="32"/>
          <w:szCs w:val="32"/>
          <w:lang w:val="en-US" w:eastAsia="zh-CN"/>
        </w:rPr>
      </w:pPr>
      <w:r>
        <w:rPr>
          <w:rStyle w:val="20"/>
          <w:rFonts w:hint="eastAsia" w:ascii="仿宋_GB2312" w:hAnsi="楷体" w:eastAsia="仿宋_GB2312" w:cs="Times New Roman"/>
          <w:b/>
          <w:bCs w:val="0"/>
          <w:spacing w:val="-4"/>
          <w:sz w:val="32"/>
          <w:szCs w:val="32"/>
          <w:lang w:val="en-US" w:eastAsia="zh-CN"/>
        </w:rPr>
        <w:t>1、绩效评价目的</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rPr>
        <w:t>通过绩效评价，客观地评判项目的管理绩效，了解和掌握自治区信访业务智能辅助系统建设一期项目资金的具体情况，评价项目资金安排的科学性、合理性、规范性和资金的使用成效，及时总结项目管理经验，完善项目管理办法，提高项目管理水平和资金使用效益。根据绩效评价中发现的问题，认真加以整改，及时调整和完善单位的工作计划和绩效目标并加强项目管理，提高管理水平，同时为项目后续资金投入、分配和管理提供决策依据。</w:t>
      </w:r>
      <w:r>
        <w:rPr>
          <w:rStyle w:val="20"/>
          <w:rFonts w:hint="eastAsia" w:ascii="仿宋_GB2312" w:hAnsi="楷体" w:eastAsia="仿宋_GB2312" w:cs="Times New Roman"/>
          <w:b w:val="0"/>
          <w:spacing w:val="-4"/>
          <w:sz w:val="32"/>
          <w:szCs w:val="32"/>
        </w:rPr>
        <w:cr/>
      </w:r>
      <w:r>
        <w:rPr>
          <w:rStyle w:val="20"/>
          <w:rFonts w:hint="eastAsia" w:ascii="楷体" w:hAnsi="楷体" w:eastAsia="楷体"/>
          <w:b w:val="0"/>
          <w:bCs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2、绩效评价对象</w:t>
      </w:r>
      <w:r>
        <w:rPr>
          <w:rStyle w:val="20"/>
          <w:rFonts w:hint="eastAsia" w:ascii="楷体" w:hAnsi="楷体" w:eastAsia="楷体"/>
          <w:spacing w:val="-4"/>
          <w:sz w:val="32"/>
          <w:szCs w:val="32"/>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val="0"/>
          <w:spacing w:val="-4"/>
          <w:sz w:val="32"/>
          <w:szCs w:val="32"/>
        </w:rPr>
        <w:t>绩效评价的对象主要是全疆信访业务工作者。</w:t>
      </w:r>
      <w:r>
        <w:rPr>
          <w:rStyle w:val="20"/>
          <w:rFonts w:hint="eastAsia" w:ascii="仿宋_GB2312" w:hAnsi="楷体" w:eastAsia="仿宋_GB2312" w:cs="Times New Roman"/>
          <w:b w:val="0"/>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3、绩效评价范围</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本次评价从项目决策（包括绩效目标、决策过程）、项目管理（包括项目资金、项目实施）、项目产出（包括项目产出数量、产出质量、产出时效和产出成本）项目效益四个维度进行评价，评价核心为专项资金的支出完成情况和效果，包括用户数量、 矛盾化解率、隐患消除情况、业务水平提升率和信访干部满意度。</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Style w:val="20"/>
          <w:rFonts w:ascii="楷体" w:hAnsi="楷体" w:eastAsia="楷体"/>
          <w:spacing w:val="-4"/>
          <w:sz w:val="32"/>
          <w:szCs w:val="32"/>
        </w:rPr>
      </w:pPr>
      <w:r>
        <w:rPr>
          <w:rStyle w:val="20"/>
          <w:rFonts w:hint="eastAsia" w:ascii="楷体" w:hAnsi="楷体" w:eastAsia="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40" w:lineRule="exact"/>
        <w:ind w:left="17" w:leftChars="8" w:firstLine="840" w:firstLineChars="268"/>
        <w:textAlignment w:val="auto"/>
        <w:rPr>
          <w:rStyle w:val="20"/>
          <w:rFonts w:hint="eastAsia" w:ascii="仿宋_GB2312" w:hAnsi="楷体" w:eastAsia="仿宋_GB2312" w:cs="Times New Roman"/>
          <w:b/>
          <w:bCs w:val="0"/>
          <w:spacing w:val="-4"/>
          <w:sz w:val="32"/>
          <w:szCs w:val="32"/>
          <w:lang w:val="en-US" w:eastAsia="zh-CN"/>
        </w:rPr>
      </w:pPr>
      <w:r>
        <w:rPr>
          <w:rStyle w:val="20"/>
          <w:rFonts w:hint="eastAsia" w:ascii="仿宋_GB2312" w:hAnsi="楷体" w:eastAsia="仿宋_GB2312" w:cs="Times New Roman"/>
          <w:b/>
          <w:bCs w:val="0"/>
          <w:spacing w:val="-4"/>
          <w:sz w:val="32"/>
          <w:szCs w:val="32"/>
          <w:lang w:val="en-US" w:eastAsia="zh-CN"/>
        </w:rPr>
        <w:t>1</w:t>
      </w:r>
      <w:r>
        <w:rPr>
          <w:rStyle w:val="20"/>
          <w:rFonts w:hint="eastAsia" w:ascii="仿宋_GB2312" w:hAnsi="楷体" w:eastAsia="仿宋_GB2312" w:cs="Times New Roman"/>
          <w:b/>
          <w:bCs w:val="0"/>
          <w:spacing w:val="-4"/>
          <w:sz w:val="32"/>
          <w:szCs w:val="32"/>
          <w:lang w:val="en-US" w:eastAsia="zh-CN"/>
        </w:rPr>
        <w:t>、绩效评价原则</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bCs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（一）科学公正。绩效评价应当运用科学合理的方法，按照规范的程序，对项目绩效进行客观、公正的反映。</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（二）统筹兼顾。单位自评、部门评价和财政评价应职责明确，各有侧重，相互衔接。单位自评应由项目单位自主实施，即“谁支出、谁自评”。</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（三）激励约束。绩效评价结果应与预算安排、政策调整、改进管理实质性挂钩，体现奖优罚劣和激励相容导向，有效要安排、低效要压减、无效要问责。</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（四）公开透明。绩效评价结果应依法依规公开，并自觉接受社会监督。</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楷体" w:hAnsi="楷体" w:eastAsia="楷体" w:cs="Times New Roman"/>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2、评价指标体系</w:t>
      </w:r>
    </w:p>
    <w:tbl>
      <w:tblPr>
        <w:tblW w:w="89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1080"/>
        <w:gridCol w:w="1080"/>
        <w:gridCol w:w="1080"/>
        <w:gridCol w:w="1080"/>
        <w:gridCol w:w="1080"/>
        <w:gridCol w:w="600"/>
        <w:gridCol w:w="1080"/>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8955" w:type="dxa"/>
            <w:gridSpan w:val="9"/>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955" w:type="dxa"/>
            <w:gridSpan w:val="9"/>
            <w:tcBorders>
              <w:top w:val="nil"/>
              <w:left w:val="nil"/>
              <w:bottom w:val="nil"/>
              <w:right w:val="nil"/>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预算单位</w:t>
            </w:r>
          </w:p>
        </w:tc>
        <w:tc>
          <w:tcPr>
            <w:tcW w:w="6795" w:type="dxa"/>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新疆维吾尔自治区信访局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项目名称</w:t>
            </w:r>
          </w:p>
        </w:tc>
        <w:tc>
          <w:tcPr>
            <w:tcW w:w="324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信访业务项目经费</w:t>
            </w:r>
          </w:p>
        </w:tc>
        <w:tc>
          <w:tcPr>
            <w:tcW w:w="168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项目负责人</w:t>
            </w:r>
          </w:p>
        </w:tc>
        <w:tc>
          <w:tcPr>
            <w:tcW w:w="18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杨波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项目资金（万元）</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年度预算总额：</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430</w:t>
            </w:r>
          </w:p>
        </w:tc>
        <w:tc>
          <w:tcPr>
            <w:tcW w:w="1080"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430</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18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6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项目总体目标</w:t>
            </w:r>
          </w:p>
        </w:tc>
        <w:tc>
          <w:tcPr>
            <w:tcW w:w="6795" w:type="dxa"/>
            <w:gridSpan w:val="7"/>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自治区信访局坚持以习近平新时代中国特色社会主义思想为指导，深入贯彻落实习近平总书记关于加强和改进人民信访工作的重要思想，坚持以人民为中心，始终把“了解民情、集中民智、维护民利、凝聚民心”作为信访工作的出发点和落脚点，在服务保障社会稳定、人民安宁方面取得了明显成效。全区持续推进信访制度改革，阳光信访，责任信访、法治信访成效显著，坚持和发展新时代“枫桥经验”，加大依法及时就地解决群众合理诉求力度，深入开展信访矛盾化解攻坚，解决了一大批事关群众切身利益的信访问题。时刻牢记为民解难、为党分忧的政治责任，坚守人民情怀，坚持底线思维，履行服务党和国家大局、维护群众合法权益、化解信访突出问题、促进自治区社会和谐稳定的职能，持续推进信访工作法治化、信息化、科学化，畅通和规范群众诉求表达、利益协调和权益保障通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w:t>
            </w:r>
          </w:p>
        </w:tc>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w:t>
            </w:r>
          </w:p>
        </w:tc>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三级指标</w:t>
            </w:r>
          </w:p>
        </w:tc>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指标值</w:t>
            </w:r>
          </w:p>
        </w:tc>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指标值设置依据</w:t>
            </w:r>
          </w:p>
        </w:tc>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上年完成值</w:t>
            </w:r>
          </w:p>
        </w:tc>
        <w:tc>
          <w:tcPr>
            <w:tcW w:w="60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指标分值权重</w:t>
            </w:r>
          </w:p>
        </w:tc>
        <w:tc>
          <w:tcPr>
            <w:tcW w:w="108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指标赋分规则</w:t>
            </w:r>
          </w:p>
        </w:tc>
        <w:tc>
          <w:tcPr>
            <w:tcW w:w="795"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信息网络运行维护驻场人员数量</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=2人</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=2人</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信息网络运行维护数量</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=4个</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=4个</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信息系统等级测评次数</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=1次</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=1次</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网络安全风险评估次数</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=1次</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=1次</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信访工作正常运转率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系统故障率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&lt;=5%</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资金发放及时率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系统故障修复处理时间</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&lt;=1天</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&lt;=1天</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系统运维维护响应时间</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&lt;=8小时</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&lt;=8小时</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年度信息系统维护成本增长率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&lt;=5%</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信息网络运行维护费</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&lt;=253万元</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&lt;=272万元</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信访业务工作经费</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&lt;=147万元</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&lt;=128万元</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驻京信访工作组经费</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&lt;=30万元</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&lt;=30万元</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信访矛盾化解率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系统正常使用年限</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&gt;=5年</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&gt;=5年</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按照完成比例赋分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系统使用人员满意度</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信访事项办理群众满意率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满意度赋分</w:t>
            </w:r>
          </w:p>
        </w:tc>
        <w:tc>
          <w:tcPr>
            <w:tcW w:w="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说明材料</w:t>
            </w:r>
          </w:p>
        </w:tc>
      </w:tr>
    </w:tbl>
    <w:p>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bCs w:val="0"/>
          <w:spacing w:val="-4"/>
          <w:sz w:val="32"/>
          <w:szCs w:val="32"/>
          <w:lang w:val="en-US" w:eastAsia="zh-CN"/>
        </w:rPr>
        <w:t>3、评价方法</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因素分析法。通过分析家评审意见、监理反馈、验收意见才能更准确、有效地对项目进行评估和整改，并最大限度的提高项目的可用性。</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4、评价标准</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信访业务项目经费严格遵守由自治区党委网信办审核的项目建设方案执行，主要是在自治区信访信息系统的基础上，结合信访数据和业务特点，搭建信访业务智能辅助系统，将最新的信息化技术应用到信访工作领域，进一步推动新时代信访工作信息化高质量发展。项目建设完成后，由自治区信访局按照项目验收程序组织开展对项目的验收。</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Style w:val="20"/>
          <w:rFonts w:ascii="楷体" w:hAnsi="楷体" w:eastAsia="楷体"/>
          <w:spacing w:val="-4"/>
          <w:sz w:val="32"/>
          <w:szCs w:val="32"/>
        </w:rPr>
      </w:pPr>
      <w:r>
        <w:rPr>
          <w:rStyle w:val="20"/>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自治区信访局成立了部门绩效评价小组，结合信访工作实际，紧紧围绕绩效管理工作要点，不断提升绩效管理工作质量。一是增强认识，夯实基础。处室负责人对预算绩效管理工作进行专题研究部署，统筹协调全部室全力做好绩效管理基础工作，带头落实预算绩效管理工作，助推局机关预算绩效管理工作得以顺利实施。二是精心组织，着力推进。及时调整绩效目标。按照绩效目标设定，坚持履行规定的程序和手续，确保相关项目资金合理使用，做到专款专用，严格审批，公开透明。</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Style w:val="20"/>
          <w:rFonts w:hint="eastAsia" w:ascii="黑体" w:hAnsi="黑体" w:eastAsia="黑体"/>
          <w:b w:val="0"/>
          <w:spacing w:val="-4"/>
          <w:sz w:val="32"/>
          <w:szCs w:val="32"/>
        </w:rPr>
      </w:pPr>
      <w:r>
        <w:rPr>
          <w:rStyle w:val="20"/>
          <w:rFonts w:hint="eastAsia" w:ascii="黑体" w:hAnsi="黑体" w:eastAsia="黑体"/>
          <w:b w:val="0"/>
          <w:spacing w:val="-4"/>
          <w:sz w:val="32"/>
          <w:szCs w:val="32"/>
        </w:rPr>
        <w:t>三、</w:t>
      </w:r>
      <w:r>
        <w:rPr>
          <w:rStyle w:val="20"/>
          <w:rFonts w:hint="eastAsia"/>
          <w:spacing w:val="-4"/>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20"/>
          <w:rFonts w:hint="eastAsia" w:ascii="楷体" w:hAnsi="楷体" w:eastAsia="楷体"/>
          <w:spacing w:val="-4"/>
          <w:sz w:val="32"/>
          <w:szCs w:val="32"/>
        </w:rPr>
      </w:pPr>
      <w:r>
        <w:rPr>
          <w:rStyle w:val="20"/>
          <w:rFonts w:hint="eastAsia" w:ascii="仿宋_GB2312" w:hAnsi="楷体" w:eastAsia="仿宋_GB2312" w:cs="Times New Roman"/>
          <w:b w:val="0"/>
          <w:spacing w:val="-4"/>
          <w:sz w:val="32"/>
          <w:szCs w:val="32"/>
          <w:lang w:val="en-US" w:eastAsia="zh-CN"/>
        </w:rPr>
        <w:t>本项目严格按照科学公正、统筹兼顾、激励约束、公开透明绩效评价原则，采用因素分析评价方法，坚持计划标准对本项目的立项、项绩效目标、资金投入、资金管理、组织实施、产出数量、产出质量、产出时效、产出成本、项目效益进行了综合评价。</w:t>
      </w:r>
      <w:r>
        <w:rPr>
          <w:rStyle w:val="20"/>
          <w:rFonts w:hint="eastAsia" w:ascii="仿宋_GB2312" w:hAnsi="楷体" w:eastAsia="仿宋_GB2312" w:cs="Times New Roman"/>
          <w:b w:val="0"/>
          <w:spacing w:val="-4"/>
          <w:sz w:val="32"/>
          <w:szCs w:val="32"/>
          <w:lang w:val="en-US" w:eastAsia="zh-CN"/>
        </w:rPr>
        <w:cr/>
      </w:r>
    </w:p>
    <w:tbl>
      <w:tblPr>
        <w:tblStyle w:val="18"/>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产出指标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效益指标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eastAsia="仿宋_GB2312"/>
                <w:sz w:val="22"/>
              </w:rPr>
            </w:pPr>
            <w:r>
              <w:rPr>
                <w:rFonts w:hint="eastAsia"/>
                <w:sz w:val="22"/>
                <w:lang w:val="en-US" w:eastAsia="zh-CN"/>
              </w:rPr>
              <w:t>2</w:t>
            </w:r>
            <w:r>
              <w:rPr>
                <w:rFonts w:hint="eastAsia"/>
                <w:sz w:val="22"/>
              </w:rPr>
              <w:t>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成本指标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eastAsia" w:eastAsia="宋体"/>
                <w:sz w:val="22"/>
                <w:lang w:eastAsia="zh-CN"/>
              </w:rPr>
            </w:pPr>
            <w:r>
              <w:rPr>
                <w:rFonts w:hint="eastAsia"/>
                <w:sz w:val="22"/>
              </w:rPr>
              <w:t>满意度指标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eastAsia="仿宋_GB2312"/>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hint="default" w:eastAsia="仿宋_GB2312"/>
                <w:b/>
                <w:bCs/>
                <w:sz w:val="22"/>
                <w:lang w:val="en-US" w:eastAsia="zh-CN"/>
              </w:rPr>
            </w:pPr>
            <w:r>
              <w:rPr>
                <w:rFonts w:hint="eastAsia" w:eastAsia="仿宋_GB2312"/>
                <w:b/>
                <w:bCs/>
                <w:sz w:val="22"/>
                <w:lang w:val="en-US" w:eastAsia="zh-CN"/>
              </w:rPr>
              <w:t>100</w:t>
            </w:r>
          </w:p>
        </w:tc>
      </w:tr>
    </w:tbl>
    <w:p>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20"/>
          <w:rFonts w:hint="eastAsia" w:ascii="楷体" w:hAnsi="楷体" w:eastAsia="楷体"/>
          <w:spacing w:val="-4"/>
          <w:sz w:val="32"/>
          <w:szCs w:val="32"/>
        </w:rPr>
      </w:pP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信访业务项目经局绩效评价小组综合评价，得分为100分，评价等级为优秀。</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Style w:val="20"/>
          <w:rFonts w:ascii="黑体" w:hAnsi="黑体" w:eastAsia="黑体"/>
        </w:rPr>
      </w:pPr>
      <w:r>
        <w:rPr>
          <w:rStyle w:val="20"/>
          <w:rFonts w:hint="eastAsia" w:ascii="黑体" w:hAnsi="黑体" w:eastAsia="黑体"/>
          <w:b w:val="0"/>
          <w:spacing w:val="-4"/>
          <w:sz w:val="32"/>
          <w:szCs w:val="32"/>
        </w:rPr>
        <w:t>四、</w:t>
      </w:r>
      <w:r>
        <w:rPr>
          <w:rStyle w:val="20"/>
          <w:rFonts w:hint="eastAsia"/>
          <w:spacing w:val="-4"/>
          <w:sz w:val="32"/>
          <w:szCs w:val="32"/>
        </w:rPr>
        <w:t>绩效评价指标分析</w:t>
      </w:r>
      <w:r>
        <w:rPr>
          <w:rStyle w:val="20"/>
          <w:rFonts w:hint="eastAsia" w:ascii="黑体" w:hAnsi="黑体" w:eastAsia="黑体"/>
          <w:b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40" w:lineRule="exact"/>
        <w:ind w:left="638" w:leftChars="304" w:firstLine="219" w:firstLineChars="70"/>
        <w:textAlignment w:val="auto"/>
        <w:rPr>
          <w:rStyle w:val="20"/>
          <w:rFonts w:hint="eastAsia" w:ascii="楷体" w:hAnsi="楷体" w:eastAsia="楷体"/>
          <w:b/>
          <w:bCs w:val="0"/>
          <w:spacing w:val="-4"/>
          <w:sz w:val="32"/>
          <w:szCs w:val="32"/>
        </w:rPr>
      </w:pPr>
      <w:r>
        <w:rPr>
          <w:rStyle w:val="20"/>
          <w:rFonts w:hint="eastAsia" w:ascii="仿宋_GB2312" w:hAnsi="楷体" w:eastAsia="仿宋_GB2312" w:cs="Times New Roman"/>
          <w:b/>
          <w:bCs w:val="0"/>
          <w:spacing w:val="-4"/>
          <w:sz w:val="32"/>
          <w:szCs w:val="32"/>
          <w:lang w:val="en-US" w:eastAsia="zh-CN"/>
        </w:rPr>
        <w:t>1、立项依据充分性</w:t>
      </w:r>
    </w:p>
    <w:p>
      <w:pPr>
        <w:keepNext w:val="0"/>
        <w:keepLines w:val="0"/>
        <w:pageBreakBefore w:val="0"/>
        <w:widowControl w:val="0"/>
        <w:kinsoku/>
        <w:wordWrap/>
        <w:overflowPunct/>
        <w:topLinePunct w:val="0"/>
        <w:autoSpaceDE/>
        <w:autoSpaceDN/>
        <w:bidi w:val="0"/>
        <w:adjustRightInd/>
        <w:snapToGrid/>
        <w:spacing w:line="540" w:lineRule="exact"/>
        <w:ind w:left="319" w:leftChars="152" w:firstLine="602" w:firstLineChars="193"/>
        <w:jc w:val="both"/>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自治区信访业务项目立项依据自治区党委、政府工作要求，按照职责范围界定，精心编制资金项目预算申报书，并经局党组研究审核。</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 xml:space="preserve"> 2、立项程序规范性</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信访业务项目均严格按照规定的程序申请设立，审批文件、材料是否符合相关要求，并经过可行性研究，部室集体讨论研究通过。</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 xml:space="preserve"> 3、绩效目标合理性</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信访业务项目绩效目标，与局各项重点工作均具有相关性，项目的预期产出效益和效果也均能符合正常的业绩水平，并且与预算确定的项目投资额或资金量相匹配。</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4、绩效指标明确性</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信访业务项目绩效目标细化分解为具体的绩效指标，共设三级目标指标17条，所有绩效指标均通过清晰、可衡量的指标值予以体现，并且做到了与项目目标任务数或计划数相对应。</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 xml:space="preserve">   5、预算编制科学性</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自治区信访业务项目资金预算均按照标准编制，并经过科学论证，与项目内容匹配，预算确定的项目投资额与工作任务相匹配。</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 xml:space="preserve"> 6、资金分配合理性</w:t>
      </w:r>
      <w:r>
        <w:rPr>
          <w:rStyle w:val="20"/>
          <w:rFonts w:hint="eastAsia" w:ascii="楷体" w:hAnsi="楷体" w:eastAsia="楷体"/>
          <w:b/>
          <w:bCs w:val="0"/>
          <w:spacing w:val="-4"/>
          <w:sz w:val="32"/>
          <w:szCs w:val="32"/>
        </w:rPr>
        <w:cr/>
      </w:r>
      <w:r>
        <w:rPr>
          <w:rStyle w:val="20"/>
          <w:rFonts w:hint="eastAsia" w:ascii="楷体" w:hAnsi="楷体" w:eastAsia="楷体"/>
          <w:b/>
          <w:bCs w:val="0"/>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预算资金分配依据充分，资金分配额度合理，与实际相适应。</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40" w:lineRule="exact"/>
        <w:ind w:left="319" w:leftChars="152" w:firstLine="605" w:firstLineChars="193"/>
        <w:jc w:val="both"/>
        <w:textAlignment w:val="auto"/>
        <w:rPr>
          <w:rStyle w:val="20"/>
          <w:rFonts w:hint="eastAsia" w:ascii="仿宋_GB2312" w:hAnsi="楷体" w:eastAsia="仿宋_GB2312" w:cs="Times New Roman"/>
          <w:b/>
          <w:bCs w:val="0"/>
          <w:spacing w:val="-4"/>
          <w:sz w:val="32"/>
          <w:szCs w:val="32"/>
          <w:lang w:val="en-US" w:eastAsia="zh-CN"/>
        </w:rPr>
      </w:pPr>
      <w:r>
        <w:rPr>
          <w:rStyle w:val="20"/>
          <w:rFonts w:hint="eastAsia" w:ascii="仿宋_GB2312" w:hAnsi="楷体" w:eastAsia="仿宋_GB2312" w:cs="Times New Roman"/>
          <w:b/>
          <w:bCs w:val="0"/>
          <w:spacing w:val="-4"/>
          <w:sz w:val="32"/>
          <w:szCs w:val="32"/>
          <w:lang w:val="en-US" w:eastAsia="zh-CN"/>
        </w:rPr>
        <w:t>1、资金到位率</w:t>
      </w:r>
    </w:p>
    <w:p>
      <w:pPr>
        <w:keepNext w:val="0"/>
        <w:keepLines w:val="0"/>
        <w:pageBreakBefore w:val="0"/>
        <w:widowControl w:val="0"/>
        <w:kinsoku/>
        <w:wordWrap/>
        <w:overflowPunct/>
        <w:topLinePunct w:val="0"/>
        <w:autoSpaceDE/>
        <w:autoSpaceDN/>
        <w:bidi w:val="0"/>
        <w:adjustRightInd/>
        <w:snapToGrid/>
        <w:spacing w:line="540" w:lineRule="exact"/>
        <w:ind w:left="17" w:leftChars="8" w:firstLine="836" w:firstLineChars="268"/>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实际到位资金430万元，预算资金430万元，资金到位率100%（资金到位率=（实际到位资金/预算资金）×100%）</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 xml:space="preserve"> 2、预算执行率</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 xml:space="preserve"> 年初预算数430万元，全年预算数430万元（有年中追加资金，全年预算数=年初预算数+追加资金），全年执行数428.79万元，预算执行率为99.7%（预算执行率=全年执行数/全年预算数）</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3、资金使用合规性</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资金使用符合国家财经法规和财务管理制度以及有关专项资金管理办法的规定；资金的拨付严格按照相关规定具备完整的审批程序和手续；符合项目预算批复或合同规定的用途；不存在截留、挤占、挪用、虚列支出等情况。</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4、管理制度健全性</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已制定或具有相应的财务和业务管理制度；财务和业务管理制度合法、合规、完整。</w:t>
      </w:r>
      <w:r>
        <w:rPr>
          <w:rStyle w:val="20"/>
          <w:rFonts w:hint="eastAsia" w:ascii="仿宋_GB2312" w:hAnsi="楷体" w:eastAsia="仿宋_GB2312" w:cs="Times New Roman"/>
          <w:b w:val="0"/>
          <w:spacing w:val="-4"/>
          <w:sz w:val="32"/>
          <w:szCs w:val="32"/>
          <w:lang w:val="en-US" w:eastAsia="zh-CN"/>
        </w:rPr>
        <w:cr/>
      </w:r>
      <w:r>
        <w:rPr>
          <w:rStyle w:val="20"/>
          <w:rFonts w:hint="eastAsia" w:ascii="仿宋_GB2312" w:hAnsi="楷体" w:eastAsia="仿宋_GB2312" w:cs="Times New Roman"/>
          <w:b w:val="0"/>
          <w:spacing w:val="-4"/>
          <w:sz w:val="32"/>
          <w:szCs w:val="32"/>
          <w:lang w:val="en-US" w:eastAsia="zh-CN"/>
        </w:rPr>
        <w:t xml:space="preserve">    </w:t>
      </w:r>
      <w:r>
        <w:rPr>
          <w:rStyle w:val="20"/>
          <w:rFonts w:hint="eastAsia" w:ascii="仿宋_GB2312" w:hAnsi="楷体" w:eastAsia="仿宋_GB2312" w:cs="Times New Roman"/>
          <w:b/>
          <w:bCs w:val="0"/>
          <w:spacing w:val="-4"/>
          <w:sz w:val="32"/>
          <w:szCs w:val="32"/>
          <w:lang w:val="en-US" w:eastAsia="zh-CN"/>
        </w:rPr>
        <w:t>5、制度执行有效性</w:t>
      </w:r>
      <w:r>
        <w:rPr>
          <w:rStyle w:val="20"/>
          <w:rFonts w:hint="eastAsia" w:ascii="楷体" w:hAnsi="楷体" w:eastAsia="楷体"/>
          <w:b/>
          <w:bCs w:val="0"/>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严格遵守相关法律法规和相关管理规定；项目调整及支出调整手续完备；项目合同书、验收报告、技术鉴定等资料齐全并及时归档；项目实施的人员条件、场地设备、信息支撑等落实到位。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40" w:lineRule="exact"/>
        <w:ind w:left="17" w:leftChars="8" w:firstLine="836" w:firstLineChars="268"/>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实现目标总支出预设指标为小于等于430万元，实际完成428.79万元小于430万元，偏差值0，得分10分。</w:t>
      </w:r>
    </w:p>
    <w:p>
      <w:pPr>
        <w:keepNext w:val="0"/>
        <w:keepLines w:val="0"/>
        <w:pageBreakBefore w:val="0"/>
        <w:widowControl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540" w:lineRule="exact"/>
        <w:ind w:left="17" w:leftChars="8" w:firstLine="836" w:firstLineChars="268"/>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资金分配合理性：项目预算资金分配有测算依据，与本单位项目资金需要相适应。</w:t>
      </w:r>
    </w:p>
    <w:p>
      <w:pPr>
        <w:keepNext w:val="0"/>
        <w:keepLines w:val="0"/>
        <w:pageBreakBefore w:val="0"/>
        <w:widowControl w:val="0"/>
        <w:kinsoku/>
        <w:wordWrap/>
        <w:overflowPunct/>
        <w:topLinePunct w:val="0"/>
        <w:autoSpaceDE/>
        <w:autoSpaceDN/>
        <w:bidi w:val="0"/>
        <w:adjustRightInd/>
        <w:snapToGrid/>
        <w:spacing w:line="540" w:lineRule="exact"/>
        <w:ind w:left="17" w:leftChars="8" w:firstLine="836" w:firstLineChars="268"/>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服务社会群众满意。</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Style w:val="20"/>
          <w:rFonts w:ascii="黑体" w:hAnsi="黑体" w:eastAsia="黑体"/>
          <w:spacing w:val="-4"/>
          <w:sz w:val="32"/>
          <w:szCs w:val="32"/>
        </w:rPr>
      </w:pPr>
      <w:r>
        <w:rPr>
          <w:rStyle w:val="20"/>
          <w:rFonts w:hint="eastAsia" w:ascii="黑体" w:hAnsi="黑体" w:eastAsia="黑体"/>
          <w:b w:val="0"/>
          <w:spacing w:val="-4"/>
          <w:sz w:val="32"/>
          <w:szCs w:val="32"/>
          <w:lang w:eastAsia="zh-CN"/>
        </w:rPr>
        <w:t>五</w:t>
      </w:r>
      <w:r>
        <w:rPr>
          <w:rStyle w:val="20"/>
          <w:rFonts w:hint="eastAsia" w:ascii="黑体" w:hAnsi="黑体" w:eastAsia="黑体"/>
          <w:b w:val="0"/>
          <w:spacing w:val="-4"/>
          <w:sz w:val="32"/>
          <w:szCs w:val="32"/>
        </w:rPr>
        <w:t>、</w:t>
      </w:r>
      <w:r>
        <w:rPr>
          <w:rStyle w:val="20"/>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40" w:lineRule="exact"/>
        <w:ind w:left="330" w:leftChars="157" w:firstLine="313" w:firstLineChars="100"/>
        <w:textAlignment w:val="auto"/>
        <w:rPr>
          <w:rStyle w:val="20"/>
          <w:rFonts w:hint="eastAsia" w:ascii="楷体" w:hAnsi="楷体" w:eastAsia="楷体"/>
          <w:spacing w:val="-4"/>
          <w:sz w:val="32"/>
          <w:szCs w:val="32"/>
        </w:rPr>
      </w:pPr>
      <w:r>
        <w:rPr>
          <w:rStyle w:val="20"/>
          <w:rFonts w:hint="eastAsia" w:ascii="楷体" w:hAnsi="楷体" w:eastAsia="楷体"/>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540" w:lineRule="exact"/>
        <w:ind w:left="330" w:leftChars="157" w:firstLine="624" w:firstLineChars="200"/>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一是严格执行相关财经法律法规，项目经费专款专用，抓好项目实施和绩效评价；二是全面实行项目预算绩效管理，将绩效理念和方法深度融入预算编制、执行、监督全过程，积极构建事前事中事后绩效管理闭环系统。经费预算和实施力求突出业务工作重点，坚持问题导向，聚集社会稳定和长治久安总目标，提升社会关注度、保证项目实施效果。</w:t>
      </w:r>
      <w:r>
        <w:rPr>
          <w:rStyle w:val="20"/>
          <w:rFonts w:hint="eastAsia" w:ascii="仿宋_GB2312" w:hAnsi="楷体" w:eastAsia="仿宋_GB2312" w:cs="Times New Roman"/>
          <w:b w:val="0"/>
          <w:spacing w:val="-4"/>
          <w:sz w:val="32"/>
          <w:szCs w:val="32"/>
          <w:lang w:val="en-US" w:eastAsia="zh-CN"/>
        </w:rPr>
        <w:cr/>
      </w:r>
      <w:r>
        <w:rPr>
          <w:rStyle w:val="20"/>
          <w:rFonts w:hint="eastAsia" w:ascii="楷体" w:hAnsi="楷体" w:eastAsia="楷体"/>
          <w:spacing w:val="-4"/>
          <w:sz w:val="32"/>
          <w:szCs w:val="32"/>
        </w:rPr>
        <w:t>（二）存在的问题及原因分析</w:t>
      </w:r>
      <w:r>
        <w:rPr>
          <w:rStyle w:val="20"/>
          <w:rFonts w:hint="eastAsia" w:ascii="楷体" w:hAnsi="楷体" w:eastAsia="楷体"/>
          <w:spacing w:val="-4"/>
          <w:sz w:val="32"/>
          <w:szCs w:val="32"/>
        </w:rPr>
        <w:cr/>
      </w:r>
      <w:r>
        <w:rPr>
          <w:rStyle w:val="20"/>
          <w:rFonts w:hint="eastAsia" w:ascii="楷体" w:hAnsi="楷体" w:eastAsia="楷体"/>
          <w:spacing w:val="-4"/>
          <w:sz w:val="32"/>
          <w:szCs w:val="32"/>
          <w:lang w:val="en-US" w:eastAsia="zh-CN"/>
        </w:rPr>
        <w:t xml:space="preserve">    </w:t>
      </w:r>
      <w:r>
        <w:rPr>
          <w:rStyle w:val="20"/>
          <w:rFonts w:hint="eastAsia" w:ascii="仿宋_GB2312" w:hAnsi="楷体" w:eastAsia="仿宋_GB2312" w:cs="Times New Roman"/>
          <w:b w:val="0"/>
          <w:spacing w:val="-4"/>
          <w:sz w:val="32"/>
          <w:szCs w:val="32"/>
          <w:lang w:val="en-US" w:eastAsia="zh-CN"/>
        </w:rPr>
        <w:t>根据本次绩效评价情况，发现预算绩效申报存在绩效目标设置不科学、不合同理的问题。原因为编制的项目自评指标体系不够精细，绩效目标不具体，绩效目标未完全细化，分解工作任务不够具体，部分绩效指标不清晰，在经费支出过程中经济功能精确度有待提高。</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ascii="黑体" w:hAnsi="黑体" w:eastAsia="黑体"/>
          <w:b w:val="0"/>
          <w:spacing w:val="-4"/>
          <w:sz w:val="32"/>
          <w:szCs w:val="32"/>
        </w:rPr>
      </w:pPr>
      <w:r>
        <w:rPr>
          <w:rStyle w:val="20"/>
          <w:rFonts w:hint="eastAsia" w:ascii="黑体" w:hAnsi="黑体" w:eastAsia="黑体"/>
          <w:b w:val="0"/>
          <w:spacing w:val="-4"/>
          <w:sz w:val="32"/>
          <w:szCs w:val="32"/>
          <w:lang w:eastAsia="zh-CN"/>
        </w:rPr>
        <w:t>六</w:t>
      </w:r>
      <w:r>
        <w:rPr>
          <w:rStyle w:val="20"/>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在今后的预算绩效申报时，相关业务处室将全年工作任务细化分解为具体的工作目标，并尽量采取定量的方式制定清晰、可衡量的绩效指标，提高项目使用经济功能精确度。</w:t>
      </w:r>
    </w:p>
    <w:p>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20"/>
          <w:rFonts w:ascii="黑体" w:hAnsi="黑体" w:eastAsia="黑体"/>
          <w:b w:val="0"/>
          <w:spacing w:val="-4"/>
          <w:sz w:val="32"/>
          <w:szCs w:val="32"/>
        </w:rPr>
      </w:pPr>
      <w:r>
        <w:rPr>
          <w:rStyle w:val="20"/>
          <w:rFonts w:hint="eastAsia" w:ascii="黑体" w:hAnsi="黑体" w:eastAsia="黑体"/>
          <w:b w:val="0"/>
          <w:spacing w:val="-4"/>
          <w:sz w:val="32"/>
          <w:szCs w:val="32"/>
          <w:lang w:eastAsia="zh-CN"/>
        </w:rPr>
        <w:t>七</w:t>
      </w:r>
      <w:r>
        <w:rPr>
          <w:rStyle w:val="20"/>
          <w:rFonts w:hint="eastAsia" w:ascii="黑体" w:hAnsi="黑体" w:eastAsia="黑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hint="eastAsia" w:ascii="仿宋_GB2312" w:hAnsi="楷体" w:eastAsia="仿宋_GB2312" w:cs="Times New Roman"/>
          <w:b w:val="0"/>
          <w:spacing w:val="-4"/>
          <w:sz w:val="32"/>
          <w:szCs w:val="32"/>
          <w:lang w:val="en-US" w:eastAsia="zh-CN"/>
        </w:rPr>
      </w:pPr>
      <w:r>
        <w:rPr>
          <w:rStyle w:val="20"/>
          <w:rFonts w:hint="eastAsia" w:ascii="仿宋_GB2312" w:hAnsi="楷体" w:eastAsia="仿宋_GB2312" w:cs="Times New Roman"/>
          <w:b w:val="0"/>
          <w:spacing w:val="-4"/>
          <w:sz w:val="32"/>
          <w:szCs w:val="32"/>
          <w:lang w:val="en-US" w:eastAsia="zh-CN"/>
        </w:rPr>
        <w:t>无</w:t>
      </w: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MGU3NTFmODU5MDY3YWNjZDZlOTFhNWNmNDNhYzI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2F83F32"/>
    <w:rsid w:val="3B4D3A9C"/>
    <w:rsid w:val="4A4B7E4A"/>
    <w:rsid w:val="4C3D1751"/>
    <w:rsid w:val="4D2606A1"/>
    <w:rsid w:val="59B02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jc w:val="both"/>
    </w:pPr>
  </w:style>
  <w:style w:type="paragraph" w:styleId="3">
    <w:name w:val="Body Text Indent"/>
    <w:basedOn w:val="1"/>
    <w:qFormat/>
    <w:uiPriority w:val="0"/>
    <w:pPr>
      <w:spacing w:line="360" w:lineRule="auto"/>
      <w:ind w:firstLine="540"/>
      <w:jc w:val="left"/>
    </w:pPr>
    <w:rPr>
      <w:rFonts w:ascii="仿宋_GB2312" w:eastAsia="仿宋_GB2312"/>
      <w:sz w:val="32"/>
      <w:szCs w:val="32"/>
    </w:rPr>
  </w:style>
  <w:style w:type="paragraph" w:styleId="13">
    <w:name w:val="Balloon Text"/>
    <w:basedOn w:val="1"/>
    <w:link w:val="47"/>
    <w:semiHidden/>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4"/>
    <w:qFormat/>
    <w:uiPriority w:val="9"/>
    <w:rPr>
      <w:rFonts w:asciiTheme="majorHAnsi" w:hAnsiTheme="majorHAnsi" w:eastAsiaTheme="majorEastAsia"/>
      <w:b/>
      <w:bCs/>
      <w:kern w:val="32"/>
      <w:sz w:val="32"/>
      <w:szCs w:val="32"/>
    </w:rPr>
  </w:style>
  <w:style w:type="character" w:customStyle="1" w:styleId="23">
    <w:name w:val="标题 2 字符"/>
    <w:basedOn w:val="19"/>
    <w:link w:val="5"/>
    <w:semiHidden/>
    <w:qFormat/>
    <w:uiPriority w:val="9"/>
    <w:rPr>
      <w:rFonts w:asciiTheme="majorHAnsi" w:hAnsiTheme="majorHAnsi" w:eastAsiaTheme="majorEastAsia"/>
      <w:b/>
      <w:bCs/>
      <w:i/>
      <w:iCs/>
      <w:sz w:val="28"/>
      <w:szCs w:val="28"/>
    </w:rPr>
  </w:style>
  <w:style w:type="character" w:customStyle="1" w:styleId="24">
    <w:name w:val="标题 3 字符"/>
    <w:basedOn w:val="19"/>
    <w:link w:val="6"/>
    <w:semiHidden/>
    <w:qFormat/>
    <w:uiPriority w:val="9"/>
    <w:rPr>
      <w:rFonts w:asciiTheme="majorHAnsi" w:hAnsiTheme="majorHAnsi" w:eastAsiaTheme="majorEastAsia"/>
      <w:b/>
      <w:bCs/>
      <w:sz w:val="26"/>
      <w:szCs w:val="26"/>
    </w:rPr>
  </w:style>
  <w:style w:type="character" w:customStyle="1" w:styleId="25">
    <w:name w:val="标题 4 字符"/>
    <w:basedOn w:val="19"/>
    <w:link w:val="7"/>
    <w:qFormat/>
    <w:uiPriority w:val="9"/>
    <w:rPr>
      <w:b/>
      <w:bCs/>
      <w:sz w:val="28"/>
      <w:szCs w:val="28"/>
    </w:rPr>
  </w:style>
  <w:style w:type="character" w:customStyle="1" w:styleId="26">
    <w:name w:val="标题 5 字符"/>
    <w:basedOn w:val="19"/>
    <w:link w:val="8"/>
    <w:semiHidden/>
    <w:qFormat/>
    <w:uiPriority w:val="9"/>
    <w:rPr>
      <w:b/>
      <w:bCs/>
      <w:i/>
      <w:iCs/>
      <w:sz w:val="26"/>
      <w:szCs w:val="26"/>
    </w:rPr>
  </w:style>
  <w:style w:type="character" w:customStyle="1" w:styleId="27">
    <w:name w:val="标题 6 字符"/>
    <w:basedOn w:val="19"/>
    <w:link w:val="9"/>
    <w:semiHidden/>
    <w:qFormat/>
    <w:uiPriority w:val="9"/>
    <w:rPr>
      <w:b/>
      <w:bCs/>
    </w:rPr>
  </w:style>
  <w:style w:type="character" w:customStyle="1" w:styleId="28">
    <w:name w:val="标题 7 字符"/>
    <w:basedOn w:val="19"/>
    <w:link w:val="10"/>
    <w:semiHidden/>
    <w:qFormat/>
    <w:uiPriority w:val="9"/>
    <w:rPr>
      <w:sz w:val="24"/>
      <w:szCs w:val="24"/>
    </w:rPr>
  </w:style>
  <w:style w:type="character" w:customStyle="1" w:styleId="29">
    <w:name w:val="标题 8 字符"/>
    <w:basedOn w:val="19"/>
    <w:link w:val="11"/>
    <w:semiHidden/>
    <w:qFormat/>
    <w:uiPriority w:val="9"/>
    <w:rPr>
      <w:i/>
      <w:iCs/>
      <w:sz w:val="24"/>
      <w:szCs w:val="24"/>
    </w:rPr>
  </w:style>
  <w:style w:type="character" w:customStyle="1" w:styleId="30">
    <w:name w:val="标题 9 字符"/>
    <w:basedOn w:val="19"/>
    <w:link w:val="12"/>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4"/>
    <w:next w:val="1"/>
    <w:semiHidden/>
    <w:unhideWhenUsed/>
    <w:qFormat/>
    <w:uiPriority w:val="39"/>
    <w:pPr>
      <w:outlineLvl w:val="9"/>
    </w:pPr>
    <w:rPr>
      <w:lang w:eastAsia="en-US" w:bidi="en-US"/>
    </w:rPr>
  </w:style>
  <w:style w:type="character" w:customStyle="1" w:styleId="45">
    <w:name w:val="页眉 字符"/>
    <w:basedOn w:val="19"/>
    <w:link w:val="15"/>
    <w:qFormat/>
    <w:uiPriority w:val="99"/>
    <w:rPr>
      <w:rFonts w:ascii="Calibri" w:hAnsi="Calibri" w:eastAsia="宋体"/>
      <w:kern w:val="2"/>
      <w:sz w:val="18"/>
      <w:szCs w:val="18"/>
    </w:rPr>
  </w:style>
  <w:style w:type="character" w:customStyle="1" w:styleId="46">
    <w:name w:val="页脚 字符"/>
    <w:basedOn w:val="19"/>
    <w:link w:val="14"/>
    <w:qFormat/>
    <w:uiPriority w:val="99"/>
    <w:rPr>
      <w:rFonts w:ascii="Calibri" w:hAnsi="Calibri" w:eastAsia="宋体"/>
      <w:kern w:val="2"/>
      <w:sz w:val="18"/>
      <w:szCs w:val="18"/>
    </w:rPr>
  </w:style>
  <w:style w:type="character" w:customStyle="1" w:styleId="47">
    <w:name w:val="批注框文本 字符"/>
    <w:basedOn w:val="19"/>
    <w:link w:val="1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113</Words>
  <Characters>648</Characters>
  <Lines>5</Lines>
  <Paragraphs>1</Paragraphs>
  <TotalTime>12</TotalTime>
  <ScaleCrop>false</ScaleCrop>
  <LinksUpToDate>false</LinksUpToDate>
  <CharactersWithSpaces>760</CharactersWithSpaces>
  <Application>WPS Office_12.8.2.16984_F1E327BC-269C-435d-A152-05C5408002CA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胡新锋</cp:lastModifiedBy>
  <cp:lastPrinted>2018-12-31T10:56:00Z</cp:lastPrinted>
  <dcterms:modified xsi:type="dcterms:W3CDTF">2025-08-21T10:51:56Z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2052-12.8.2.16984</vt:lpwstr>
  </property>
  <property fmtid="{D5CDD505-2E9C-101B-9397-08002B2CF9AE}" pid="3" name="ICV">
    <vt:lpwstr>160D1BA1944349B08C48068401F6E698</vt:lpwstr>
  </property>
</Properties>
</file>