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85" w:rsidRDefault="00735192">
      <w:pPr>
        <w:spacing w:line="600" w:lineRule="exact"/>
        <w:rPr>
          <w:rFonts w:ascii="仿宋_GB2312" w:eastAsia="仿宋_GB2312" w:hAnsi="方正粗黑宋简体" w:cs="方正粗黑宋简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粗黑宋简体" w:cs="方正粗黑宋简体" w:hint="eastAsia"/>
          <w:color w:val="000000"/>
          <w:sz w:val="32"/>
          <w:szCs w:val="32"/>
          <w:shd w:val="clear" w:color="auto" w:fill="FFFFFF"/>
        </w:rPr>
        <w:t>附件1</w:t>
      </w:r>
    </w:p>
    <w:p w:rsidR="00FA1085" w:rsidRDefault="00FA1085">
      <w:pPr>
        <w:spacing w:line="600" w:lineRule="exact"/>
        <w:ind w:firstLineChars="250" w:firstLine="1300"/>
        <w:rPr>
          <w:rFonts w:ascii="方正粗黑宋简体" w:eastAsia="方正粗黑宋简体" w:hAnsi="方正粗黑宋简体" w:cs="方正粗黑宋简体"/>
          <w:color w:val="000000"/>
          <w:sz w:val="52"/>
          <w:szCs w:val="52"/>
          <w:shd w:val="clear" w:color="auto" w:fill="FFFFFF"/>
        </w:rPr>
      </w:pPr>
    </w:p>
    <w:p w:rsidR="00FA1085" w:rsidRDefault="00735192">
      <w:pPr>
        <w:spacing w:line="600" w:lineRule="exact"/>
        <w:ind w:firstLineChars="250" w:firstLine="1100"/>
        <w:rPr>
          <w:rFonts w:ascii="方正粗黑宋简体" w:eastAsia="方正粗黑宋简体" w:hAnsi="方正粗黑宋简体" w:cs="方正粗黑宋简体"/>
          <w:color w:val="000000"/>
          <w:sz w:val="44"/>
          <w:szCs w:val="44"/>
          <w:shd w:val="clear" w:color="auto" w:fill="FFFFFF"/>
        </w:rPr>
      </w:pPr>
      <w:r>
        <w:rPr>
          <w:rFonts w:ascii="方正粗黑宋简体" w:eastAsia="方正粗黑宋简体" w:hAnsi="方正粗黑宋简体" w:cs="方正粗黑宋简体" w:hint="eastAsia"/>
          <w:color w:val="000000"/>
          <w:sz w:val="44"/>
          <w:szCs w:val="44"/>
          <w:shd w:val="clear" w:color="auto" w:fill="FFFFFF"/>
        </w:rPr>
        <w:t>信访事项复查（复核）工作流程</w:t>
      </w:r>
    </w:p>
    <w:p w:rsidR="00FA1085" w:rsidRDefault="00FA1085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FA1085" w:rsidRDefault="00FA1085">
      <w:pPr>
        <w:spacing w:line="520" w:lineRule="exact"/>
        <w:ind w:firstLineChars="200" w:firstLine="640"/>
        <w:rPr>
          <w:rFonts w:ascii="黑体" w:eastAsia="黑体" w:hAnsi="仿宋_GB2312" w:cs="仿宋_GB2312"/>
          <w:color w:val="000000"/>
          <w:sz w:val="32"/>
          <w:szCs w:val="32"/>
          <w:shd w:val="clear" w:color="auto" w:fill="FFFFFF"/>
        </w:rPr>
      </w:pPr>
    </w:p>
    <w:p w:rsidR="00FA1085" w:rsidRDefault="00735192">
      <w:pPr>
        <w:spacing w:line="500" w:lineRule="exact"/>
        <w:ind w:firstLineChars="200" w:firstLine="640"/>
        <w:rPr>
          <w:rFonts w:ascii="黑体" w:eastAsia="黑体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color w:val="000000"/>
          <w:sz w:val="32"/>
          <w:szCs w:val="32"/>
          <w:shd w:val="clear" w:color="auto" w:fill="FFFFFF"/>
        </w:rPr>
        <w:t>一、</w:t>
      </w:r>
      <w:r>
        <w:rPr>
          <w:rFonts w:ascii="黑体" w:eastAsia="黑体" w:hAnsi="仿宋_GB2312" w:cs="仿宋_GB2312"/>
          <w:color w:val="000000"/>
          <w:sz w:val="32"/>
          <w:szCs w:val="32"/>
          <w:shd w:val="clear" w:color="auto" w:fill="FFFFFF"/>
        </w:rPr>
        <w:t>信访事项</w:t>
      </w:r>
      <w:r>
        <w:rPr>
          <w:rFonts w:ascii="黑体" w:eastAsia="黑体" w:hAnsi="仿宋_GB2312" w:cs="仿宋_GB2312" w:hint="eastAsia"/>
          <w:color w:val="000000"/>
          <w:sz w:val="32"/>
          <w:szCs w:val="32"/>
          <w:shd w:val="clear" w:color="auto" w:fill="FFFFFF"/>
        </w:rPr>
        <w:t>复查复核机关的确定</w:t>
      </w:r>
    </w:p>
    <w:p w:rsidR="00FA1085" w:rsidRDefault="00611DED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严格依照《自治区信访事项复查复核办法》第15条确定</w:t>
      </w:r>
      <w:r w:rsidR="001C331A">
        <w:rPr>
          <w:rFonts w:ascii="仿宋_GB2312" w:eastAsia="仿宋_GB2312" w:hint="eastAsia"/>
          <w:sz w:val="32"/>
          <w:szCs w:val="32"/>
        </w:rPr>
        <w:t>信访事项复查复核机关。</w:t>
      </w:r>
      <w:r w:rsidR="00735192">
        <w:rPr>
          <w:rFonts w:ascii="仿宋_GB2312" w:eastAsia="仿宋_GB2312" w:hint="eastAsia"/>
          <w:sz w:val="32"/>
          <w:szCs w:val="32"/>
        </w:rPr>
        <w:t>县（市、区）以上人民政府和地（州、市）以上人民政府工作部门是</w:t>
      </w:r>
      <w:r w:rsidR="00833515">
        <w:rPr>
          <w:rFonts w:ascii="仿宋_GB2312" w:eastAsia="仿宋_GB2312" w:hint="eastAsia"/>
          <w:sz w:val="32"/>
          <w:szCs w:val="32"/>
        </w:rPr>
        <w:t>信访事项</w:t>
      </w:r>
      <w:r w:rsidR="00735192">
        <w:rPr>
          <w:rFonts w:ascii="仿宋_GB2312" w:eastAsia="仿宋_GB2312" w:hint="eastAsia"/>
          <w:sz w:val="32"/>
          <w:szCs w:val="32"/>
        </w:rPr>
        <w:t>复查（复核）机关，信访人不服有关行政机关作出的信访事项处理（复查）意见而提出申请，依法由原处理行政机关的上一级行政机关进行复查（复核）。</w:t>
      </w:r>
      <w:r w:rsidR="00833515">
        <w:rPr>
          <w:rFonts w:ascii="仿宋_GB2312" w:eastAsia="仿宋_GB2312" w:hAnsi="宋体" w:hint="eastAsia"/>
          <w:sz w:val="32"/>
          <w:szCs w:val="32"/>
        </w:rPr>
        <w:t>原</w:t>
      </w:r>
      <w:r w:rsidR="00FE5760">
        <w:rPr>
          <w:rFonts w:ascii="仿宋_GB2312" w:eastAsia="仿宋_GB2312" w:hAnsi="宋体" w:hint="eastAsia"/>
          <w:sz w:val="32"/>
          <w:szCs w:val="32"/>
        </w:rPr>
        <w:t>处</w:t>
      </w:r>
      <w:r w:rsidR="00833515">
        <w:rPr>
          <w:rFonts w:ascii="仿宋_GB2312" w:eastAsia="仿宋_GB2312" w:hAnsi="宋体" w:hint="eastAsia"/>
          <w:sz w:val="32"/>
          <w:szCs w:val="32"/>
        </w:rPr>
        <w:t>理（复查）行政机关是本级人民政府的，复查（复核）机关是上一级人民政府；</w:t>
      </w:r>
      <w:r w:rsidR="00735192">
        <w:rPr>
          <w:rFonts w:ascii="仿宋_GB2312" w:eastAsia="仿宋_GB2312" w:hAnsi="宋体" w:hint="eastAsia"/>
          <w:sz w:val="32"/>
          <w:szCs w:val="32"/>
        </w:rPr>
        <w:t>原</w:t>
      </w:r>
      <w:r w:rsidR="00FE5760">
        <w:rPr>
          <w:rFonts w:ascii="仿宋_GB2312" w:eastAsia="仿宋_GB2312" w:hAnsi="宋体" w:hint="eastAsia"/>
          <w:sz w:val="32"/>
          <w:szCs w:val="32"/>
        </w:rPr>
        <w:t>处</w:t>
      </w:r>
      <w:r w:rsidR="00735192">
        <w:rPr>
          <w:rFonts w:ascii="仿宋_GB2312" w:eastAsia="仿宋_GB2312" w:hAnsi="宋体" w:hint="eastAsia"/>
          <w:sz w:val="32"/>
          <w:szCs w:val="32"/>
        </w:rPr>
        <w:t>理（复查）行政机关是本级人民政府工作部门的，复查（复核）机关是本级人民政府或上一级人民政府主管部门（</w:t>
      </w:r>
      <w:r w:rsidR="0073519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信访人可以自主选择，复查复核机关不得以此为由不予受理</w:t>
      </w:r>
      <w:r w:rsidR="00735192">
        <w:rPr>
          <w:rFonts w:ascii="仿宋_GB2312" w:eastAsia="仿宋_GB2312" w:hAnsi="宋体" w:hint="eastAsia"/>
          <w:sz w:val="32"/>
          <w:szCs w:val="32"/>
        </w:rPr>
        <w:t>）。</w:t>
      </w:r>
    </w:p>
    <w:p w:rsidR="00FA1085" w:rsidRDefault="00735192">
      <w:pPr>
        <w:spacing w:line="500" w:lineRule="exact"/>
        <w:ind w:firstLineChars="200" w:firstLine="640"/>
        <w:rPr>
          <w:rFonts w:ascii="黑体" w:eastAsia="黑体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color w:val="000000"/>
          <w:sz w:val="32"/>
          <w:szCs w:val="32"/>
          <w:shd w:val="clear" w:color="auto" w:fill="FFFFFF"/>
        </w:rPr>
        <w:t>二、</w:t>
      </w:r>
      <w:r>
        <w:rPr>
          <w:rFonts w:ascii="黑体" w:eastAsia="黑体" w:hAnsi="仿宋_GB2312" w:cs="仿宋_GB2312"/>
          <w:color w:val="000000"/>
          <w:sz w:val="32"/>
          <w:szCs w:val="32"/>
          <w:shd w:val="clear" w:color="auto" w:fill="FFFFFF"/>
        </w:rPr>
        <w:t>信访事项</w:t>
      </w:r>
      <w:r>
        <w:rPr>
          <w:rFonts w:ascii="黑体" w:eastAsia="黑体" w:hAnsi="仿宋_GB2312" w:cs="仿宋_GB2312" w:hint="eastAsia"/>
          <w:color w:val="000000"/>
          <w:sz w:val="32"/>
          <w:szCs w:val="32"/>
          <w:shd w:val="clear" w:color="auto" w:fill="FFFFFF"/>
        </w:rPr>
        <w:t xml:space="preserve">复查（复核）申请条件 </w:t>
      </w:r>
    </w:p>
    <w:p w:rsidR="00253202" w:rsidRDefault="00735192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（一）提出复查（复核）申请的条件</w:t>
      </w:r>
    </w:p>
    <w:p w:rsidR="00253202" w:rsidRDefault="00735192" w:rsidP="00253202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信访人的复查</w:t>
      </w:r>
      <w:r>
        <w:rPr>
          <w:rFonts w:ascii="仿宋_GB2312" w:eastAsia="仿宋_GB2312" w:hAnsi="宋体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复核</w:t>
      </w:r>
      <w:r>
        <w:rPr>
          <w:rFonts w:ascii="仿宋_GB2312" w:eastAsia="仿宋_GB2312" w:hAnsi="宋体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申请应当针对处理</w:t>
      </w:r>
      <w:r>
        <w:rPr>
          <w:rFonts w:ascii="仿宋_GB2312" w:eastAsia="仿宋_GB2312" w:hAnsi="宋体"/>
          <w:sz w:val="32"/>
          <w:szCs w:val="32"/>
        </w:rPr>
        <w:t>（复查）</w:t>
      </w:r>
      <w:r>
        <w:rPr>
          <w:rFonts w:ascii="仿宋_GB2312" w:eastAsia="仿宋_GB2312" w:hAnsi="宋体" w:hint="eastAsia"/>
          <w:sz w:val="32"/>
          <w:szCs w:val="32"/>
        </w:rPr>
        <w:t>意见，必须由本人（或委托代理人）以书面形式提出，并附原处理（复查）意见及相关证据、依据等材料。</w:t>
      </w:r>
    </w:p>
    <w:p w:rsidR="00253202" w:rsidRDefault="00735192" w:rsidP="0025320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2.有具体的复查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复核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请求和事实依据，且请求的范围不得超出原处理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复查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事项的范围。</w:t>
      </w:r>
    </w:p>
    <w:p w:rsidR="00253202" w:rsidRDefault="00735192" w:rsidP="0025320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3.自收到处理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复查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意见书之日起30日内提出。</w:t>
      </w:r>
    </w:p>
    <w:p w:rsidR="00253202" w:rsidRDefault="00735192" w:rsidP="0025320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4.属于复查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复核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的范围，并属于接受申请单位的职权范围。</w:t>
      </w:r>
    </w:p>
    <w:p w:rsidR="003012A4" w:rsidRDefault="00735192">
      <w:pPr>
        <w:spacing w:line="500" w:lineRule="exact"/>
        <w:ind w:firstLineChars="150" w:firstLine="480"/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（二）信访事项复查（复核）不予受理的情形</w:t>
      </w:r>
    </w:p>
    <w:p w:rsidR="003012A4" w:rsidRDefault="00735192" w:rsidP="003012A4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lastRenderedPageBreak/>
        <w:t>1.</w:t>
      </w:r>
      <w:r w:rsidR="003012A4"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已经或依法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应当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通过</w:t>
      </w:r>
      <w:r w:rsidR="002D52DA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诉讼、仲裁、行政复议等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法定</w:t>
      </w:r>
      <w:r w:rsidR="006B30FE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途径</w:t>
      </w:r>
      <w:r w:rsidR="002D52DA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处理</w:t>
      </w:r>
      <w:r>
        <w:rPr>
          <w:rFonts w:ascii="仿宋_GB2312" w:eastAsia="仿宋_GB2312" w:hAnsi="Calibri" w:cs="Times New Roman" w:hint="eastAsia"/>
          <w:sz w:val="32"/>
          <w:szCs w:val="32"/>
        </w:rPr>
        <w:t>的。</w:t>
      </w:r>
    </w:p>
    <w:p w:rsidR="005E50E8" w:rsidRDefault="00735192" w:rsidP="003012A4">
      <w:pPr>
        <w:spacing w:line="50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应当按照依法履职程序或其他法定程序（行政程序）</w:t>
      </w:r>
      <w:r w:rsidR="002D52DA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处理</w:t>
      </w:r>
      <w:r w:rsidR="002D52DA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2D52DA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FA1085" w:rsidRDefault="00735192" w:rsidP="003012A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3.</w:t>
      </w:r>
      <w:r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 xml:space="preserve"> </w:t>
      </w:r>
      <w:r w:rsidR="00925F8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其它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不符合</w:t>
      </w:r>
      <w:r>
        <w:rPr>
          <w:rFonts w:ascii="仿宋_GB2312" w:eastAsia="仿宋_GB2312" w:hint="eastAsia"/>
          <w:sz w:val="32"/>
          <w:szCs w:val="32"/>
        </w:rPr>
        <w:t>提出复查（复核）申请的条件的。</w:t>
      </w:r>
    </w:p>
    <w:p w:rsidR="003012A4" w:rsidRDefault="00735192" w:rsidP="003012A4">
      <w:pPr>
        <w:spacing w:line="500" w:lineRule="exact"/>
        <w:ind w:firstLineChars="150" w:firstLine="480"/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（三）信访事项复查（复核）不再受理的情形</w:t>
      </w:r>
    </w:p>
    <w:p w:rsidR="003012A4" w:rsidRDefault="00735192" w:rsidP="003012A4">
      <w:pPr>
        <w:spacing w:line="500" w:lineRule="exact"/>
        <w:ind w:firstLineChars="200" w:firstLine="640"/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1.已有复核意见且没有提出新的事实或理由的。</w:t>
      </w:r>
    </w:p>
    <w:p w:rsidR="003012A4" w:rsidRDefault="00735192" w:rsidP="003012A4">
      <w:pPr>
        <w:spacing w:line="500" w:lineRule="exact"/>
        <w:ind w:firstLineChars="200" w:firstLine="640"/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2.在规定期限内未申请复查（复核）的。</w:t>
      </w:r>
    </w:p>
    <w:p w:rsidR="003012A4" w:rsidRDefault="00735192" w:rsidP="003012A4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Calibri" w:cs="Times New Roman" w:hint="eastAsia"/>
          <w:sz w:val="32"/>
          <w:szCs w:val="32"/>
        </w:rPr>
        <w:t>复查（复核）意见作出前，信访人自愿撤回复查（复核）申请的。</w:t>
      </w:r>
    </w:p>
    <w:p w:rsidR="00FA1085" w:rsidRDefault="00735192" w:rsidP="003012A4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4.复查（复核）事项已经调解（或和解）且履行完毕的。</w:t>
      </w:r>
    </w:p>
    <w:p w:rsidR="00FA1085" w:rsidRPr="002D52DA" w:rsidRDefault="00735192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复查（复核）机关对收到的信访事项复查（复核）书面申请，要</w:t>
      </w:r>
      <w:r>
        <w:rPr>
          <w:rFonts w:ascii="仿宋_GB2312" w:eastAsia="仿宋_GB2312" w:hAnsi="宋体"/>
          <w:sz w:val="32"/>
          <w:szCs w:val="32"/>
        </w:rPr>
        <w:t>在信访信息系统</w:t>
      </w:r>
      <w:r>
        <w:rPr>
          <w:rFonts w:ascii="仿宋_GB2312" w:eastAsia="仿宋_GB2312" w:hAnsi="宋体" w:hint="eastAsia"/>
          <w:sz w:val="32"/>
          <w:szCs w:val="32"/>
        </w:rPr>
        <w:t>进行登记，</w:t>
      </w:r>
      <w:r w:rsidRPr="002D52DA">
        <w:rPr>
          <w:rFonts w:ascii="仿宋_GB2312" w:eastAsia="仿宋_GB2312" w:hAnsi="宋体" w:hint="eastAsia"/>
          <w:sz w:val="32"/>
          <w:szCs w:val="32"/>
        </w:rPr>
        <w:t>并按照</w:t>
      </w:r>
      <w:r w:rsidR="00233CB3" w:rsidRPr="002D52DA">
        <w:rPr>
          <w:rFonts w:ascii="仿宋_GB2312" w:eastAsia="仿宋_GB2312" w:hAnsi="宋体" w:hint="eastAsia"/>
          <w:sz w:val="32"/>
          <w:szCs w:val="32"/>
        </w:rPr>
        <w:t>《自治区信访事项复查复核工作</w:t>
      </w:r>
      <w:r w:rsidR="002171C5">
        <w:rPr>
          <w:rFonts w:ascii="仿宋_GB2312" w:eastAsia="仿宋_GB2312" w:hAnsi="宋体" w:hint="eastAsia"/>
          <w:sz w:val="32"/>
          <w:szCs w:val="32"/>
        </w:rPr>
        <w:t>实施</w:t>
      </w:r>
      <w:r w:rsidR="00233CB3" w:rsidRPr="002D52DA">
        <w:rPr>
          <w:rFonts w:ascii="仿宋_GB2312" w:eastAsia="仿宋_GB2312" w:hAnsi="宋体" w:hint="eastAsia"/>
          <w:sz w:val="32"/>
          <w:szCs w:val="32"/>
        </w:rPr>
        <w:t>细则》第</w:t>
      </w:r>
      <w:r w:rsidR="002D52DA">
        <w:rPr>
          <w:rFonts w:ascii="仿宋_GB2312" w:eastAsia="仿宋_GB2312" w:hAnsi="宋体" w:hint="eastAsia"/>
          <w:sz w:val="32"/>
          <w:szCs w:val="32"/>
        </w:rPr>
        <w:t>3</w:t>
      </w:r>
      <w:r w:rsidR="00233CB3" w:rsidRPr="002D52DA">
        <w:rPr>
          <w:rFonts w:ascii="仿宋_GB2312" w:eastAsia="仿宋_GB2312" w:hAnsi="宋体" w:hint="eastAsia"/>
          <w:sz w:val="32"/>
          <w:szCs w:val="32"/>
        </w:rPr>
        <w:t>条</w:t>
      </w:r>
      <w:r w:rsidRPr="002D52DA">
        <w:rPr>
          <w:rFonts w:ascii="仿宋_GB2312" w:eastAsia="仿宋_GB2312" w:hAnsi="宋体" w:hint="eastAsia"/>
          <w:sz w:val="32"/>
          <w:szCs w:val="32"/>
        </w:rPr>
        <w:t>有关规定进行审查</w:t>
      </w:r>
      <w:r w:rsidR="00233CB3" w:rsidRPr="002D52DA">
        <w:rPr>
          <w:rFonts w:ascii="仿宋_GB2312" w:eastAsia="仿宋_GB2312" w:hAnsi="宋体" w:hint="eastAsia"/>
          <w:sz w:val="32"/>
          <w:szCs w:val="32"/>
        </w:rPr>
        <w:t>、办理。</w:t>
      </w:r>
    </w:p>
    <w:p w:rsidR="00FA1085" w:rsidRDefault="00735192">
      <w:pPr>
        <w:spacing w:line="500" w:lineRule="exact"/>
        <w:ind w:leftChars="200" w:left="420" w:firstLineChars="100" w:firstLine="320"/>
        <w:rPr>
          <w:rFonts w:ascii="黑体" w:eastAsia="黑体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二、</w:t>
      </w:r>
      <w:r>
        <w:rPr>
          <w:rFonts w:ascii="黑体" w:eastAsia="黑体" w:hAnsi="宋体" w:hint="eastAsia"/>
          <w:sz w:val="32"/>
          <w:szCs w:val="32"/>
        </w:rPr>
        <w:t>信访事项复查（复核）的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办理</w:t>
      </w:r>
    </w:p>
    <w:p w:rsidR="00FA1085" w:rsidRPr="002D52DA" w:rsidRDefault="00735192">
      <w:pPr>
        <w:spacing w:line="50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仿宋" w:cs="仿宋" w:hint="eastAsia"/>
          <w:color w:val="000000" w:themeColor="text1"/>
          <w:sz w:val="32"/>
          <w:szCs w:val="32"/>
          <w:shd w:val="clear" w:color="auto" w:fill="FFFFFF"/>
        </w:rPr>
        <w:t>（一）调卷审查。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受理</w:t>
      </w:r>
      <w:r>
        <w:rPr>
          <w:rFonts w:ascii="仿宋_GB2312" w:eastAsia="仿宋_GB2312" w:hAnsi="宋体" w:hint="eastAsia"/>
          <w:sz w:val="32"/>
          <w:szCs w:val="32"/>
        </w:rPr>
        <w:t>复查（复核）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信访事项后，复查（复核）机关应当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调取有关行政机关作出</w:t>
      </w:r>
      <w:r w:rsidR="002D52DA">
        <w:rPr>
          <w:rFonts w:ascii="仿宋_GB2312" w:eastAsia="仿宋_GB2312" w:hAnsi="宋体" w:hint="eastAsia"/>
          <w:color w:val="000000" w:themeColor="text1"/>
          <w:sz w:val="32"/>
          <w:szCs w:val="32"/>
        </w:rPr>
        <w:t>原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处理（复查）意见的</w:t>
      </w:r>
      <w:r w:rsidR="00233CB3">
        <w:rPr>
          <w:rFonts w:ascii="仿宋_GB2312" w:eastAsia="仿宋_GB2312" w:hAnsi="宋体" w:hint="eastAsia"/>
          <w:color w:val="000000" w:themeColor="text1"/>
          <w:sz w:val="32"/>
          <w:szCs w:val="32"/>
        </w:rPr>
        <w:t>相关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材料，重点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对信访事项处理（复查）环节中</w:t>
      </w:r>
      <w:r w:rsidR="001F3B29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受理、答复、送达</w:t>
      </w:r>
      <w:r w:rsidRPr="002D52DA"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程序是否合法</w:t>
      </w:r>
      <w:r w:rsidRPr="002D52DA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进行审查。</w:t>
      </w:r>
    </w:p>
    <w:p w:rsidR="00FA1085" w:rsidRDefault="00735192">
      <w:pPr>
        <w:spacing w:line="50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楷体_GB2312" w:eastAsia="楷体_GB2312" w:hAnsi="楷体" w:cs="楷体" w:hint="eastAsia"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ascii="楷体_GB2312" w:eastAsia="楷体_GB2312" w:hAnsi="楷体" w:cs="楷体"/>
          <w:color w:val="000000" w:themeColor="text1"/>
          <w:sz w:val="32"/>
          <w:szCs w:val="32"/>
          <w:shd w:val="clear" w:color="auto" w:fill="FFFFFF"/>
        </w:rPr>
        <w:t>答复</w:t>
      </w:r>
      <w:r>
        <w:rPr>
          <w:rFonts w:ascii="楷体_GB2312" w:eastAsia="楷体_GB2312" w:hAnsi="楷体" w:cs="楷体" w:hint="eastAsia"/>
          <w:color w:val="000000" w:themeColor="text1"/>
          <w:sz w:val="32"/>
          <w:szCs w:val="32"/>
          <w:shd w:val="clear" w:color="auto" w:fill="FFFFFF"/>
        </w:rPr>
        <w:t>主体是否适格的审查。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审查是否落实</w:t>
      </w:r>
      <w:r w:rsidR="00FE5760"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诉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访分离、依法分类处理</w:t>
      </w:r>
      <w:r>
        <w:rPr>
          <w:rFonts w:ascii="仿宋_GB2312" w:eastAsia="仿宋_GB2312" w:hAnsi="仿宋" w:cs="仿宋"/>
          <w:color w:val="000000" w:themeColor="text1"/>
          <w:sz w:val="32"/>
          <w:szCs w:val="32"/>
          <w:shd w:val="clear" w:color="auto" w:fill="FFFFFF"/>
        </w:rPr>
        <w:t>，是否超出受理范围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原办理（复查）机关出具的《受理告知书》、</w:t>
      </w:r>
      <w:r>
        <w:rPr>
          <w:rFonts w:ascii="仿宋_GB2312" w:eastAsia="仿宋_GB2312" w:hAnsi="楷体" w:cs="楷体" w:hint="eastAsia"/>
          <w:color w:val="000000" w:themeColor="text1"/>
          <w:sz w:val="32"/>
          <w:szCs w:val="32"/>
          <w:shd w:val="clear" w:color="auto" w:fill="FFFFFF"/>
        </w:rPr>
        <w:t>《处理（复查）意见》函头、落款应为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有关行政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机关</w:t>
      </w:r>
      <w:r>
        <w:rPr>
          <w:rFonts w:ascii="仿宋_GB2312" w:eastAsia="仿宋_GB2312" w:hAnsi="楷体" w:cs="楷体" w:hint="eastAsia"/>
          <w:color w:val="000000" w:themeColor="text1"/>
          <w:sz w:val="32"/>
          <w:szCs w:val="32"/>
          <w:shd w:val="clear" w:color="auto" w:fill="FFFFFF"/>
        </w:rPr>
        <w:t>，落章应为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有关行政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机关公章（或信访事项复查复核专用章），不能用信访事项复查复核委员会或其办公室，或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有关行政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机关办公室、信访办等代替</w:t>
      </w:r>
      <w:r>
        <w:rPr>
          <w:rFonts w:ascii="仿宋_GB2312" w:eastAsia="仿宋_GB2312" w:hAnsi="仿宋" w:cs="仿宋"/>
          <w:color w:val="000000" w:themeColor="text1"/>
          <w:sz w:val="32"/>
          <w:szCs w:val="32"/>
          <w:shd w:val="clear" w:color="auto" w:fill="FFFFFF"/>
        </w:rPr>
        <w:t>。</w:t>
      </w:r>
    </w:p>
    <w:p w:rsidR="00FA1085" w:rsidRDefault="00735192">
      <w:pPr>
        <w:spacing w:line="5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2.《处理（复查）意见》的审查。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《处理（复查）意见》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应针对信访人的信访诉求一一调查核实，并逐一回应；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《处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lastRenderedPageBreak/>
        <w:t>理（复查）意见》应</w:t>
      </w:r>
      <w:r w:rsidR="0034088B" w:rsidRPr="00883EA5">
        <w:rPr>
          <w:rFonts w:ascii="仿宋_GB2312" w:eastAsia="仿宋_GB2312" w:hint="eastAsia"/>
          <w:sz w:val="30"/>
          <w:szCs w:val="30"/>
        </w:rPr>
        <w:t>事实清楚、依据充分、定性准确、处理恰当、程序规范</w:t>
      </w:r>
      <w:r w:rsidR="0034088B">
        <w:rPr>
          <w:rFonts w:ascii="仿宋_GB2312" w:eastAsia="仿宋_GB2312" w:hint="eastAsia"/>
          <w:sz w:val="30"/>
          <w:szCs w:val="30"/>
        </w:rPr>
        <w:t>、引导的</w:t>
      </w:r>
      <w:r w:rsidR="0034088B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救济渠道正确。</w:t>
      </w:r>
    </w:p>
    <w:p w:rsidR="00FA1085" w:rsidRDefault="00735192">
      <w:pPr>
        <w:spacing w:line="500" w:lineRule="exact"/>
        <w:ind w:firstLine="66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3. 送达环节的审查。</w:t>
      </w:r>
      <w:r w:rsidR="00611DE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按照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《民事诉讼法》有关规定</w:t>
      </w:r>
      <w:r w:rsidR="00CB73F4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="007B6D24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主</w:t>
      </w:r>
      <w:r w:rsidR="007B6D24" w:rsidRPr="00D0040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要采用</w:t>
      </w:r>
      <w:r w:rsidRPr="00D00407">
        <w:rPr>
          <w:rFonts w:ascii="仿宋_GB2312" w:eastAsia="仿宋_GB2312" w:hAnsi="楷体-简" w:cs="楷体-简" w:hint="eastAsia"/>
          <w:color w:val="333333"/>
          <w:sz w:val="32"/>
          <w:szCs w:val="32"/>
          <w:shd w:val="clear" w:color="auto" w:fill="FFFFFF"/>
        </w:rPr>
        <w:t>直接送达</w:t>
      </w:r>
      <w:r w:rsidR="007B6D24" w:rsidRPr="00D0040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Pr="00D00407">
        <w:rPr>
          <w:rFonts w:ascii="仿宋_GB2312" w:eastAsia="仿宋_GB2312" w:hint="eastAsia"/>
          <w:sz w:val="32"/>
          <w:szCs w:val="32"/>
        </w:rPr>
        <w:t>留置送达</w:t>
      </w:r>
      <w:r w:rsidR="007B6D24" w:rsidRPr="00D0040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Pr="00D00407">
        <w:rPr>
          <w:rFonts w:ascii="仿宋_GB2312" w:eastAsia="仿宋_GB2312" w:hAnsi="仿宋" w:cs="仿宋" w:hint="eastAsia"/>
          <w:bCs/>
          <w:color w:val="333333"/>
          <w:sz w:val="32"/>
          <w:szCs w:val="32"/>
          <w:shd w:val="clear" w:color="auto" w:fill="FFFFFF"/>
        </w:rPr>
        <w:t>邮寄送达</w:t>
      </w:r>
      <w:r w:rsidR="00611DED" w:rsidRPr="00D0040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  <w:r w:rsidR="007B6D24" w:rsidRPr="00D0040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经信访人同意，</w:t>
      </w:r>
      <w:r w:rsidRPr="00D0040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《受理告知书》也可以采用</w:t>
      </w:r>
      <w:r w:rsidRPr="00D00407">
        <w:rPr>
          <w:rFonts w:ascii="仿宋_GB2312" w:eastAsia="仿宋_GB2312" w:hAnsi="仿宋" w:cs="仿宋" w:hint="eastAsia"/>
          <w:bCs/>
          <w:color w:val="333333"/>
          <w:sz w:val="32"/>
          <w:szCs w:val="32"/>
          <w:shd w:val="clear" w:color="auto" w:fill="FFFFFF"/>
        </w:rPr>
        <w:t>传真、电子邮件</w:t>
      </w:r>
      <w:r w:rsidRPr="00D0040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等能够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确认信访人收悉的方式送达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。信访人签收字迹要规正清晰，评价意见要表达全面（处理意见内容经信访人充分了解后，信访人表达同意、满意处理意见等具体想法，或不满意处理意见的理由及是否申请复查的意愿，均可以作为满意度评价的依据）</w:t>
      </w:r>
    </w:p>
    <w:p w:rsidR="00FA1085" w:rsidRDefault="00735192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方正粗黑宋简体" w:cs="方正粗黑宋简体" w:hint="eastAsia"/>
          <w:color w:val="000000"/>
          <w:sz w:val="32"/>
          <w:szCs w:val="32"/>
          <w:shd w:val="clear" w:color="auto" w:fill="FFFFFF"/>
        </w:rPr>
        <w:t>（二）调查核实阶段。</w:t>
      </w:r>
      <w:r>
        <w:rPr>
          <w:rFonts w:ascii="仿宋_GB2312" w:eastAsia="仿宋_GB2312" w:hAnsi="方正粗黑宋简体" w:cs="方正粗黑宋简体" w:hint="eastAsia"/>
          <w:color w:val="000000"/>
          <w:sz w:val="32"/>
          <w:szCs w:val="32"/>
          <w:shd w:val="clear" w:color="auto" w:fill="FFFFFF"/>
        </w:rPr>
        <w:t>查清事实、明晰责任、化解矛盾。</w:t>
      </w:r>
    </w:p>
    <w:p w:rsidR="00FA1085" w:rsidRDefault="00735192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1. 复查（复核）期间，应当充分听取信访人陈述事实和理由，要求被申请单位、有关组织和人员说明情况；必要时可以调查取证；组织律师、专家、相关部门会商、分析讨论案情。</w:t>
      </w:r>
    </w:p>
    <w:p w:rsidR="00D7179E" w:rsidRDefault="00735192">
      <w:pPr>
        <w:spacing w:line="5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2. 复查（复核）期间应当举行听证的情形。</w:t>
      </w:r>
      <w:r>
        <w:rPr>
          <w:rFonts w:ascii="仿宋_GB2312" w:eastAsia="仿宋_GB2312" w:hAnsi="Calibri" w:cs="Times New Roman" w:hint="eastAsia"/>
          <w:sz w:val="32"/>
          <w:szCs w:val="32"/>
        </w:rPr>
        <w:t>一是信访人申请听证的；二是信访人未在规定时限内申请复查（复核），仍不断信访的，行政机关拟终结的；三是信访问题涉及人员多、群众反映强烈、争议较大的疑难复杂信访事项；四是有权处理机关或上级机关认为需要举行听证的</w:t>
      </w:r>
      <w:r w:rsidR="007E0A5A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1476DD" w:rsidRPr="00D7179E">
        <w:rPr>
          <w:rFonts w:ascii="仿宋_GB2312" w:eastAsia="仿宋_GB2312" w:hAnsi="Calibri" w:cs="Times New Roman" w:hint="eastAsia"/>
          <w:sz w:val="32"/>
          <w:szCs w:val="32"/>
        </w:rPr>
        <w:t>经过</w:t>
      </w:r>
      <w:r w:rsidRPr="00D7179E">
        <w:rPr>
          <w:rFonts w:ascii="仿宋_GB2312" w:eastAsia="仿宋_GB2312" w:hAnsi="Calibri" w:cs="Times New Roman" w:hint="eastAsia"/>
          <w:sz w:val="32"/>
          <w:szCs w:val="32"/>
        </w:rPr>
        <w:t>听证的复查（复核）意见，应依法在</w:t>
      </w:r>
      <w:r w:rsidRPr="00D7179E">
        <w:rPr>
          <w:rFonts w:ascii="仿宋_GB2312" w:eastAsia="仿宋_GB2312" w:hAnsi="宋体" w:hint="eastAsia"/>
          <w:sz w:val="32"/>
          <w:szCs w:val="32"/>
        </w:rPr>
        <w:t>原</w:t>
      </w:r>
      <w:r w:rsidR="00FE5760" w:rsidRPr="00D7179E">
        <w:rPr>
          <w:rFonts w:ascii="仿宋_GB2312" w:eastAsia="仿宋_GB2312" w:hAnsi="宋体" w:hint="eastAsia"/>
          <w:sz w:val="32"/>
          <w:szCs w:val="32"/>
        </w:rPr>
        <w:t>处</w:t>
      </w:r>
      <w:r w:rsidRPr="00D7179E">
        <w:rPr>
          <w:rFonts w:ascii="仿宋_GB2312" w:eastAsia="仿宋_GB2312" w:hAnsi="宋体" w:hint="eastAsia"/>
          <w:sz w:val="32"/>
          <w:szCs w:val="32"/>
        </w:rPr>
        <w:t>理（复查）行政机关</w:t>
      </w:r>
      <w:r w:rsidRPr="00D7179E">
        <w:rPr>
          <w:rFonts w:ascii="仿宋_GB2312" w:eastAsia="仿宋_GB2312" w:hAnsi="Calibri" w:cs="Times New Roman" w:hint="eastAsia"/>
          <w:sz w:val="32"/>
          <w:szCs w:val="32"/>
        </w:rPr>
        <w:t>、信访人户籍所在地或常住地公示。</w:t>
      </w:r>
    </w:p>
    <w:p w:rsidR="00FA1085" w:rsidRDefault="00735192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3.</w:t>
      </w:r>
      <w:r>
        <w:rPr>
          <w:rFonts w:ascii="楷体_GB2312" w:eastAsia="楷体_GB2312" w:hAnsi="Calibri" w:cs="Times New Roman" w:hint="eastAsia"/>
          <w:sz w:val="32"/>
          <w:szCs w:val="32"/>
        </w:rPr>
        <w:t xml:space="preserve"> 复查（复核）期间可以组织调解。</w:t>
      </w:r>
      <w:r>
        <w:rPr>
          <w:rFonts w:ascii="仿宋_GB2312" w:eastAsia="仿宋_GB2312" w:hAnsi="Calibri" w:cs="Times New Roman" w:hint="eastAsia"/>
          <w:sz w:val="32"/>
          <w:szCs w:val="32"/>
        </w:rPr>
        <w:t>调解达成书面协议且履行完毕</w:t>
      </w:r>
      <w:r w:rsidR="00751112">
        <w:rPr>
          <w:rFonts w:ascii="仿宋_GB2312" w:eastAsia="仿宋_GB2312" w:hAnsi="Calibri" w:cs="Times New Roman" w:hint="eastAsia"/>
          <w:sz w:val="32"/>
          <w:szCs w:val="32"/>
        </w:rPr>
        <w:t>，</w:t>
      </w:r>
      <w:r>
        <w:rPr>
          <w:rFonts w:ascii="仿宋_GB2312" w:eastAsia="仿宋_GB2312" w:hAnsi="Calibri" w:cs="Times New Roman" w:hint="eastAsia"/>
          <w:sz w:val="32"/>
          <w:szCs w:val="32"/>
        </w:rPr>
        <w:t>信访程序终结；调解未能达成书面协议的</w:t>
      </w:r>
      <w:r w:rsidR="00751112">
        <w:rPr>
          <w:rFonts w:ascii="仿宋_GB2312" w:eastAsia="仿宋_GB2312" w:hAnsi="Calibri" w:cs="Times New Roman" w:hint="eastAsia"/>
          <w:sz w:val="32"/>
          <w:szCs w:val="32"/>
        </w:rPr>
        <w:t>，</w:t>
      </w:r>
      <w:r>
        <w:rPr>
          <w:rFonts w:ascii="仿宋_GB2312" w:eastAsia="仿宋_GB2312" w:hAnsi="Calibri" w:cs="Times New Roman" w:hint="eastAsia"/>
          <w:sz w:val="32"/>
          <w:szCs w:val="32"/>
        </w:rPr>
        <w:t>及时作出复查（复核）意见。</w:t>
      </w:r>
    </w:p>
    <w:p w:rsidR="00FA1085" w:rsidRDefault="00735192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4. </w:t>
      </w:r>
      <w:r>
        <w:rPr>
          <w:rFonts w:ascii="楷体_GB2312" w:eastAsia="楷体_GB2312" w:hAnsi="Calibri" w:cs="Times New Roman" w:hint="eastAsia"/>
          <w:sz w:val="32"/>
          <w:szCs w:val="32"/>
        </w:rPr>
        <w:t>复查（复核）期间信访人可以撤回申请。</w:t>
      </w:r>
      <w:r>
        <w:rPr>
          <w:rFonts w:ascii="仿宋_GB2312" w:eastAsia="仿宋_GB2312" w:hAnsi="Calibri" w:cs="Times New Roman" w:hint="eastAsia"/>
          <w:sz w:val="32"/>
          <w:szCs w:val="32"/>
        </w:rPr>
        <w:t>复查（复核）意见作出前，信访人自愿撤回复查（复核）申请的，经说明理由，可以撤回；信访人撤回申请的，信访程序终结，</w:t>
      </w: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不得再以同一事实和理由提出申请，但是申请人能够证明撤回申请违背其真实意愿的除外。</w:t>
      </w:r>
    </w:p>
    <w:p w:rsidR="00FA1085" w:rsidRDefault="00735192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方正粗黑宋简体" w:cs="方正粗黑宋简体" w:hint="eastAsia"/>
          <w:color w:val="000000"/>
          <w:sz w:val="32"/>
          <w:szCs w:val="32"/>
          <w:shd w:val="clear" w:color="auto" w:fill="FFFFFF"/>
        </w:rPr>
        <w:t>（三）</w:t>
      </w:r>
      <w:r>
        <w:rPr>
          <w:rFonts w:ascii="楷体_GB2312" w:eastAsia="楷体_GB2312" w:hAnsi="Calibri" w:cs="Times New Roman" w:hint="eastAsia"/>
          <w:sz w:val="32"/>
          <w:szCs w:val="32"/>
        </w:rPr>
        <w:t>复查（复核）意见的做出</w:t>
      </w:r>
      <w:r>
        <w:rPr>
          <w:rFonts w:ascii="楷体_GB2312" w:eastAsia="楷体_GB2312" w:hAnsi="Calibri" w:cs="Times New Roman" w:hint="eastAsia"/>
          <w:b/>
          <w:sz w:val="32"/>
          <w:szCs w:val="32"/>
        </w:rPr>
        <w:t>。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复查（复核）意见要经复查（复核）机关（或信访事项复查复核委员会）会议集体研究决定。</w:t>
      </w:r>
      <w:r>
        <w:rPr>
          <w:rFonts w:ascii="仿宋_GB2312" w:eastAsia="仿宋_GB2312" w:hAnsi="Calibri" w:cs="Times New Roman" w:hint="eastAsia"/>
          <w:sz w:val="32"/>
          <w:szCs w:val="32"/>
        </w:rPr>
        <w:t>复查（复核）机关可以作出维持、变更或者撤销原处理（复查）意见，</w:t>
      </w:r>
      <w:r>
        <w:rPr>
          <w:rFonts w:ascii="仿宋_GB2312" w:eastAsia="仿宋_GB2312" w:hAnsi="宋体" w:cs="Times New Roman" w:hint="eastAsia"/>
          <w:sz w:val="32"/>
          <w:szCs w:val="32"/>
        </w:rPr>
        <w:t>均应自收到复查（复核）申请之日起30日内作出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，并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及时</w:t>
      </w:r>
      <w:r w:rsidR="00751112" w:rsidRPr="007C3EA7">
        <w:rPr>
          <w:rFonts w:ascii="仿宋_GB2312" w:eastAsia="仿宋_GB2312" w:hint="eastAsia"/>
          <w:color w:val="000000" w:themeColor="text1"/>
          <w:sz w:val="32"/>
          <w:szCs w:val="32"/>
        </w:rPr>
        <w:t>送达</w:t>
      </w:r>
      <w:r w:rsidRPr="007C3EA7">
        <w:rPr>
          <w:rFonts w:ascii="仿宋_GB2312" w:eastAsia="仿宋_GB2312" w:hint="eastAsia"/>
          <w:color w:val="000000" w:themeColor="text1"/>
          <w:sz w:val="32"/>
          <w:szCs w:val="32"/>
        </w:rPr>
        <w:t>信访人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FA1085" w:rsidRDefault="00735192">
      <w:pPr>
        <w:spacing w:line="500" w:lineRule="exact"/>
        <w:ind w:firstLineChars="200" w:firstLine="640"/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1. 维持</w:t>
      </w:r>
      <w:r w:rsidR="00951313"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《</w:t>
      </w:r>
      <w:r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处理（复查）意见</w:t>
      </w:r>
      <w:r w:rsidR="00951313"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》</w:t>
      </w:r>
      <w:r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。</w:t>
      </w:r>
      <w:r w:rsidR="00E930DA"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原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处理（复查）意见认定事实清楚、适用依据准确、程序合法、</w:t>
      </w:r>
      <w:r w:rsidR="00951313"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结论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适当，复查（复核）机关应当对原处理（复查）意见予以维持。</w:t>
      </w:r>
    </w:p>
    <w:p w:rsidR="00FA1085" w:rsidRDefault="00735192">
      <w:pPr>
        <w:spacing w:line="500" w:lineRule="exact"/>
        <w:ind w:firstLineChars="150" w:firstLine="480"/>
        <w:rPr>
          <w:rFonts w:ascii="楷体_GB2312" w:eastAsia="楷体_GB2312" w:hAnsi="方正粗黑宋简体" w:cs="方正粗黑宋简体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2. 撤销或变更</w:t>
      </w:r>
      <w:r w:rsidR="000B512D"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《</w:t>
      </w:r>
      <w:r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处理（复查）意见</w:t>
      </w:r>
      <w:r w:rsidR="000B512D"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》</w:t>
      </w:r>
      <w:r>
        <w:rPr>
          <w:rFonts w:ascii="楷体_GB2312" w:eastAsia="楷体_GB2312" w:hAnsi="楷体" w:cs="楷体"/>
          <w:color w:val="000000"/>
          <w:sz w:val="32"/>
          <w:szCs w:val="32"/>
          <w:shd w:val="clear" w:color="auto" w:fill="FFFFFF"/>
        </w:rPr>
        <w:t>的情形</w:t>
      </w:r>
      <w:r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int="eastAsia"/>
          <w:sz w:val="32"/>
          <w:szCs w:val="32"/>
        </w:rPr>
        <w:t>一是信访事项处理（复查）意见认定事实不清、证据不足的； 二是信访事项处理（复查）意见适用法律政策依据错误，处理明显不当的； 三是信访事项处理（复查）违反法定程序；四是信访事项处理（复查）超越或滥用职权的；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五是应当听证而未组织听证的；六</w:t>
      </w:r>
      <w:r>
        <w:rPr>
          <w:rFonts w:ascii="仿宋_GB2312" w:eastAsia="仿宋_GB2312" w:hint="eastAsia"/>
          <w:sz w:val="32"/>
          <w:szCs w:val="32"/>
        </w:rPr>
        <w:t>是有关行政机关未在规定时限内</w:t>
      </w:r>
      <w:r>
        <w:rPr>
          <w:rFonts w:ascii="仿宋_GB2312" w:eastAsia="仿宋_GB2312" w:hAnsi="Calibri" w:cs="Times New Roman" w:hint="eastAsia"/>
          <w:sz w:val="32"/>
          <w:szCs w:val="32"/>
        </w:rPr>
        <w:t>提交作出处理（复查）意见的证据、依据和其他相关材料。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A1085" w:rsidRDefault="00735192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3. 撤销</w:t>
      </w:r>
      <w:r w:rsidR="000B512D"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《</w:t>
      </w:r>
      <w:r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处理（复查）意见</w:t>
      </w:r>
      <w:r w:rsidR="000B512D"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》</w:t>
      </w:r>
      <w:r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的办理程序。</w:t>
      </w:r>
      <w:r>
        <w:rPr>
          <w:rFonts w:ascii="仿宋_GB2312" w:eastAsia="仿宋_GB2312" w:hint="eastAsia"/>
          <w:sz w:val="32"/>
          <w:szCs w:val="32"/>
        </w:rPr>
        <w:t>因以上六种情形撤销处理（复查）意见，复查（复核）机关应要求作出处理（复查）意见的行政机关重新作出处理，并书面告知信访人。有关行政机关应在收到</w:t>
      </w:r>
      <w:r>
        <w:rPr>
          <w:rFonts w:ascii="仿宋_GB2312" w:eastAsia="仿宋_GB2312" w:hAnsi="楷体" w:cs="楷体" w:hint="eastAsia"/>
          <w:bCs/>
          <w:color w:val="000000"/>
          <w:sz w:val="32"/>
          <w:szCs w:val="32"/>
          <w:shd w:val="clear" w:color="auto" w:fill="FFFFFF"/>
        </w:rPr>
        <w:t>撤销《关于对XX反映XX信访事项的处理（复查）意见》的函</w:t>
      </w:r>
      <w:r>
        <w:rPr>
          <w:rFonts w:ascii="仿宋_GB2312" w:eastAsia="仿宋_GB2312" w:hint="eastAsia"/>
          <w:sz w:val="32"/>
          <w:szCs w:val="32"/>
        </w:rPr>
        <w:t>》5个工作日内向信访人送达《重新受理告知书》，</w:t>
      </w:r>
      <w:r>
        <w:rPr>
          <w:rFonts w:ascii="仿宋_GB2312" w:eastAsia="仿宋_GB2312" w:hAnsi="楷体" w:cs="楷体" w:hint="eastAsia"/>
          <w:bCs/>
          <w:color w:val="000000"/>
          <w:sz w:val="32"/>
          <w:szCs w:val="32"/>
          <w:shd w:val="clear" w:color="auto" w:fill="FFFFFF"/>
        </w:rPr>
        <w:t>30天内重新作出处理（复查）意见，</w:t>
      </w:r>
      <w:r>
        <w:rPr>
          <w:rFonts w:ascii="仿宋_GB2312" w:eastAsia="仿宋_GB2312" w:hint="eastAsia"/>
          <w:sz w:val="32"/>
          <w:szCs w:val="32"/>
        </w:rPr>
        <w:t>并不得以同一事实和理由作出与原处理（复查）意见相同或基本相同的处理（复查）意见。</w:t>
      </w:r>
    </w:p>
    <w:p w:rsidR="00FA1085" w:rsidRDefault="00735192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4. </w:t>
      </w:r>
      <w:r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变更</w:t>
      </w:r>
      <w:r w:rsidR="000B512D"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《</w:t>
      </w:r>
      <w:r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处理（复查）意见</w:t>
      </w:r>
      <w:r w:rsidR="000B512D"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》</w:t>
      </w:r>
      <w:r>
        <w:rPr>
          <w:rFonts w:ascii="楷体_GB2312" w:eastAsia="楷体_GB2312" w:hAnsi="楷体" w:cs="楷体" w:hint="eastAsia"/>
          <w:color w:val="000000"/>
          <w:sz w:val="32"/>
          <w:szCs w:val="32"/>
          <w:shd w:val="clear" w:color="auto" w:fill="FFFFFF"/>
        </w:rPr>
        <w:t>的办理程序。</w:t>
      </w:r>
      <w:r>
        <w:rPr>
          <w:rFonts w:ascii="仿宋_GB2312" w:eastAsia="仿宋_GB2312" w:hAnsi="楷体" w:cs="楷体" w:hint="eastAsia"/>
          <w:color w:val="000000"/>
          <w:sz w:val="32"/>
          <w:szCs w:val="32"/>
          <w:shd w:val="clear" w:color="auto" w:fill="FFFFFF"/>
        </w:rPr>
        <w:t>因有关行政机关对</w:t>
      </w:r>
      <w:r>
        <w:rPr>
          <w:rFonts w:ascii="仿宋_GB2312" w:eastAsia="仿宋_GB2312" w:hint="eastAsia"/>
          <w:sz w:val="32"/>
          <w:szCs w:val="32"/>
        </w:rPr>
        <w:t>信访事项处理（复查）意见</w:t>
      </w:r>
      <w:r>
        <w:rPr>
          <w:rFonts w:ascii="仿宋_GB2312" w:eastAsia="仿宋_GB2312"/>
          <w:sz w:val="32"/>
          <w:szCs w:val="32"/>
        </w:rPr>
        <w:t>事实清楚，但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适用法律政</w:t>
      </w:r>
      <w:r>
        <w:rPr>
          <w:rFonts w:ascii="仿宋_GB2312" w:eastAsia="仿宋_GB2312" w:hint="eastAsia"/>
          <w:sz w:val="32"/>
          <w:szCs w:val="32"/>
        </w:rPr>
        <w:lastRenderedPageBreak/>
        <w:t>策依据错误，</w:t>
      </w:r>
      <w:r w:rsidR="000B512D">
        <w:rPr>
          <w:rFonts w:ascii="仿宋_GB2312" w:eastAsia="仿宋_GB2312" w:hint="eastAsia"/>
          <w:sz w:val="32"/>
          <w:szCs w:val="32"/>
        </w:rPr>
        <w:t>结论</w:t>
      </w:r>
      <w:r>
        <w:rPr>
          <w:rFonts w:ascii="仿宋_GB2312" w:eastAsia="仿宋_GB2312" w:hint="eastAsia"/>
          <w:sz w:val="32"/>
          <w:szCs w:val="32"/>
        </w:rPr>
        <w:t>明显不当的，复查（复核）机关可以直接作出变更意见，向信访人出具《复查（复核）意见》。</w:t>
      </w:r>
    </w:p>
    <w:p w:rsidR="00FA1085" w:rsidRDefault="00735192">
      <w:pPr>
        <w:spacing w:line="500" w:lineRule="exact"/>
        <w:ind w:firstLineChars="200" w:firstLine="640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三、信访事项复查（复核）件的归档</w:t>
      </w:r>
    </w:p>
    <w:p w:rsidR="00FA1085" w:rsidRDefault="00735192" w:rsidP="00833515">
      <w:pPr>
        <w:spacing w:line="500" w:lineRule="exact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1.</w:t>
      </w:r>
      <w:r>
        <w:rPr>
          <w:rFonts w:ascii="仿宋_GB2312" w:eastAsia="仿宋_GB2312" w:hAnsi="Calibri" w:cs="Times New Roman" w:hint="eastAsia"/>
          <w:sz w:val="32"/>
          <w:szCs w:val="32"/>
        </w:rPr>
        <w:t>不予受理的复查（复核）件。将信访人递交的复查（复核）申请书（相关证据材料）、处理（复查）意见、申请复查（复核）不予受理告知书、送达回证及不予受理相关情况说明（调解工作开展情况等）依次组卷，做到一案一卷。</w:t>
      </w:r>
    </w:p>
    <w:p w:rsidR="00FA1085" w:rsidRDefault="00735192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.受理的复查（复核）件。将信访人递交的复查（复核）申请书（相关证据材料）、处理（复查）意见、申请复查（复核）受理告知书、查找的相关证据、会商记录、复查（复核）会议记录、复查（复核）意见、送达回证、复查（复核）意见落实情况说明及相关印证材料依次组卷，做到一案一卷。</w:t>
      </w:r>
    </w:p>
    <w:p w:rsidR="00FA1085" w:rsidRDefault="00735192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3.调解的复查（复核）件。将信访人递交的复查（复核）申请书（相关证据材料）、处理（复查）意见、申请复查（复核）受理告知书、查找的相关证据、会商记录、调解会议记录、调解协议书、息诉息访承诺书、调解协议书落实情况说明及相关印证材料依次组卷，做到一案一卷。</w:t>
      </w:r>
    </w:p>
    <w:p w:rsidR="00FA1085" w:rsidRDefault="00735192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4. 撤销的复查（复核）件。将信访人递交的复查（复核）申请书（相关证据材料、原处理意见）、申请复查（复核）受理告知书、查找的相关证据、会商记录、复查（复核）会议记录、撤销处理（复查）意见的函、送达信访人的《重新受理告知书》、重新作出的处理</w:t>
      </w:r>
      <w:r w:rsidR="002A7628">
        <w:rPr>
          <w:rFonts w:ascii="仿宋_GB2312" w:eastAsia="仿宋_GB2312" w:hAnsi="Calibri" w:cs="Times New Roman" w:hint="eastAsia"/>
          <w:sz w:val="32"/>
          <w:szCs w:val="32"/>
        </w:rPr>
        <w:t>（复查）</w:t>
      </w:r>
      <w:r>
        <w:rPr>
          <w:rFonts w:ascii="仿宋_GB2312" w:eastAsia="仿宋_GB2312" w:hAnsi="Calibri" w:cs="Times New Roman" w:hint="eastAsia"/>
          <w:sz w:val="32"/>
          <w:szCs w:val="32"/>
        </w:rPr>
        <w:t>意见及处理</w:t>
      </w:r>
      <w:r w:rsidR="002A7628">
        <w:rPr>
          <w:rFonts w:ascii="仿宋_GB2312" w:eastAsia="仿宋_GB2312" w:hAnsi="Calibri" w:cs="Times New Roman" w:hint="eastAsia"/>
          <w:sz w:val="32"/>
          <w:szCs w:val="32"/>
        </w:rPr>
        <w:t>（复查）</w:t>
      </w:r>
      <w:r>
        <w:rPr>
          <w:rFonts w:ascii="仿宋_GB2312" w:eastAsia="仿宋_GB2312" w:hAnsi="Calibri" w:cs="Times New Roman" w:hint="eastAsia"/>
          <w:sz w:val="32"/>
          <w:szCs w:val="32"/>
        </w:rPr>
        <w:t>意见落实情况说明及相关印证材料依次组卷，做到一案一卷。</w:t>
      </w:r>
    </w:p>
    <w:sectPr w:rsidR="00FA1085" w:rsidSect="00FA10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EF" w:rsidRDefault="00F042EF" w:rsidP="00FA1085">
      <w:r>
        <w:separator/>
      </w:r>
    </w:p>
  </w:endnote>
  <w:endnote w:type="continuationSeparator" w:id="1">
    <w:p w:rsidR="00F042EF" w:rsidRDefault="00F042EF" w:rsidP="00FA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-简">
    <w:altName w:val="Arial Unicode MS"/>
    <w:charset w:val="86"/>
    <w:family w:val="auto"/>
    <w:pitch w:val="default"/>
    <w:sig w:usb0="00000000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16157"/>
    </w:sdtPr>
    <w:sdtContent>
      <w:p w:rsidR="00FA1085" w:rsidRDefault="00AC0358">
        <w:pPr>
          <w:pStyle w:val="a3"/>
          <w:jc w:val="center"/>
        </w:pPr>
        <w:r w:rsidRPr="00AC0358">
          <w:fldChar w:fldCharType="begin"/>
        </w:r>
        <w:r w:rsidR="00735192">
          <w:instrText xml:space="preserve"> PAGE   \* MERGEFORMAT </w:instrText>
        </w:r>
        <w:r w:rsidRPr="00AC0358">
          <w:fldChar w:fldCharType="separate"/>
        </w:r>
        <w:r w:rsidR="00D00407" w:rsidRPr="00D00407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FA1085" w:rsidRDefault="00FA10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EF" w:rsidRDefault="00F042EF" w:rsidP="00FA1085">
      <w:r>
        <w:separator/>
      </w:r>
    </w:p>
  </w:footnote>
  <w:footnote w:type="continuationSeparator" w:id="1">
    <w:p w:rsidR="00F042EF" w:rsidRDefault="00F042EF" w:rsidP="00FA1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064CC"/>
    <w:rsid w:val="DB6B9913"/>
    <w:rsid w:val="DE7EEFAB"/>
    <w:rsid w:val="00006D39"/>
    <w:rsid w:val="00013898"/>
    <w:rsid w:val="00027323"/>
    <w:rsid w:val="00036720"/>
    <w:rsid w:val="00045DCB"/>
    <w:rsid w:val="0005733A"/>
    <w:rsid w:val="00061B96"/>
    <w:rsid w:val="000A711E"/>
    <w:rsid w:val="000B194B"/>
    <w:rsid w:val="000B512D"/>
    <w:rsid w:val="000C1353"/>
    <w:rsid w:val="000C4819"/>
    <w:rsid w:val="000E0D1C"/>
    <w:rsid w:val="000E76D4"/>
    <w:rsid w:val="000F1B96"/>
    <w:rsid w:val="000F3D9E"/>
    <w:rsid w:val="0010170E"/>
    <w:rsid w:val="001211D8"/>
    <w:rsid w:val="001476DD"/>
    <w:rsid w:val="00155852"/>
    <w:rsid w:val="0016106F"/>
    <w:rsid w:val="0016189F"/>
    <w:rsid w:val="0016342C"/>
    <w:rsid w:val="001638E5"/>
    <w:rsid w:val="00163E01"/>
    <w:rsid w:val="00175482"/>
    <w:rsid w:val="00190527"/>
    <w:rsid w:val="001950CA"/>
    <w:rsid w:val="001A576A"/>
    <w:rsid w:val="001B2FD3"/>
    <w:rsid w:val="001B65E4"/>
    <w:rsid w:val="001C331A"/>
    <w:rsid w:val="001C3624"/>
    <w:rsid w:val="001E3AAA"/>
    <w:rsid w:val="001E75EA"/>
    <w:rsid w:val="001F3311"/>
    <w:rsid w:val="001F3B29"/>
    <w:rsid w:val="002122DD"/>
    <w:rsid w:val="00215CF7"/>
    <w:rsid w:val="002171C5"/>
    <w:rsid w:val="00233CB3"/>
    <w:rsid w:val="00242377"/>
    <w:rsid w:val="00242FE8"/>
    <w:rsid w:val="00247727"/>
    <w:rsid w:val="00253202"/>
    <w:rsid w:val="002706FB"/>
    <w:rsid w:val="00283538"/>
    <w:rsid w:val="00284CD2"/>
    <w:rsid w:val="002A7628"/>
    <w:rsid w:val="002B0218"/>
    <w:rsid w:val="002C564F"/>
    <w:rsid w:val="002C7572"/>
    <w:rsid w:val="002D1082"/>
    <w:rsid w:val="002D52DA"/>
    <w:rsid w:val="002E7E25"/>
    <w:rsid w:val="003012A4"/>
    <w:rsid w:val="00312E83"/>
    <w:rsid w:val="00321211"/>
    <w:rsid w:val="00325C87"/>
    <w:rsid w:val="00333DE1"/>
    <w:rsid w:val="0034088B"/>
    <w:rsid w:val="00342FE8"/>
    <w:rsid w:val="003710A3"/>
    <w:rsid w:val="003726D5"/>
    <w:rsid w:val="003A3670"/>
    <w:rsid w:val="003B0102"/>
    <w:rsid w:val="003C18DD"/>
    <w:rsid w:val="003C2270"/>
    <w:rsid w:val="003E1794"/>
    <w:rsid w:val="003E2EB3"/>
    <w:rsid w:val="003F2EE0"/>
    <w:rsid w:val="003F5829"/>
    <w:rsid w:val="0040195B"/>
    <w:rsid w:val="00420A51"/>
    <w:rsid w:val="0042795B"/>
    <w:rsid w:val="004556FF"/>
    <w:rsid w:val="004651C2"/>
    <w:rsid w:val="004A1689"/>
    <w:rsid w:val="004B1B79"/>
    <w:rsid w:val="004B1CC4"/>
    <w:rsid w:val="004C77D8"/>
    <w:rsid w:val="004D506C"/>
    <w:rsid w:val="004F4BA9"/>
    <w:rsid w:val="00507DE3"/>
    <w:rsid w:val="00510114"/>
    <w:rsid w:val="005208E3"/>
    <w:rsid w:val="00525D04"/>
    <w:rsid w:val="005326A4"/>
    <w:rsid w:val="00536E66"/>
    <w:rsid w:val="00537EE8"/>
    <w:rsid w:val="005448B6"/>
    <w:rsid w:val="00555CDA"/>
    <w:rsid w:val="00556725"/>
    <w:rsid w:val="005636CE"/>
    <w:rsid w:val="005925DD"/>
    <w:rsid w:val="00597C78"/>
    <w:rsid w:val="005B64A8"/>
    <w:rsid w:val="005D462E"/>
    <w:rsid w:val="005E364C"/>
    <w:rsid w:val="005E454F"/>
    <w:rsid w:val="005E50E8"/>
    <w:rsid w:val="00611DED"/>
    <w:rsid w:val="00621AF6"/>
    <w:rsid w:val="00626746"/>
    <w:rsid w:val="006349A1"/>
    <w:rsid w:val="006525BD"/>
    <w:rsid w:val="006612A5"/>
    <w:rsid w:val="00667ADA"/>
    <w:rsid w:val="00696254"/>
    <w:rsid w:val="006B2E63"/>
    <w:rsid w:val="006B30FE"/>
    <w:rsid w:val="006B792D"/>
    <w:rsid w:val="006C13CA"/>
    <w:rsid w:val="006C18D5"/>
    <w:rsid w:val="006D1EA1"/>
    <w:rsid w:val="006E1605"/>
    <w:rsid w:val="006E1DDD"/>
    <w:rsid w:val="006F232B"/>
    <w:rsid w:val="006F596D"/>
    <w:rsid w:val="006F690E"/>
    <w:rsid w:val="00700895"/>
    <w:rsid w:val="007064CC"/>
    <w:rsid w:val="00735192"/>
    <w:rsid w:val="00741D7E"/>
    <w:rsid w:val="0074267B"/>
    <w:rsid w:val="00747FEA"/>
    <w:rsid w:val="00751112"/>
    <w:rsid w:val="00753EF2"/>
    <w:rsid w:val="007672ED"/>
    <w:rsid w:val="007A7F41"/>
    <w:rsid w:val="007B6D24"/>
    <w:rsid w:val="007C3EA7"/>
    <w:rsid w:val="007C5375"/>
    <w:rsid w:val="007C6257"/>
    <w:rsid w:val="007E0A5A"/>
    <w:rsid w:val="007E12B1"/>
    <w:rsid w:val="007E22F5"/>
    <w:rsid w:val="007E5A7A"/>
    <w:rsid w:val="007F66E2"/>
    <w:rsid w:val="0080059F"/>
    <w:rsid w:val="00814FA5"/>
    <w:rsid w:val="008315F2"/>
    <w:rsid w:val="00833515"/>
    <w:rsid w:val="0086651F"/>
    <w:rsid w:val="00877B70"/>
    <w:rsid w:val="008874FD"/>
    <w:rsid w:val="00893B18"/>
    <w:rsid w:val="00897534"/>
    <w:rsid w:val="008B1FC9"/>
    <w:rsid w:val="008E1CC7"/>
    <w:rsid w:val="008E754D"/>
    <w:rsid w:val="008F40C5"/>
    <w:rsid w:val="008F708C"/>
    <w:rsid w:val="0090090F"/>
    <w:rsid w:val="00904E68"/>
    <w:rsid w:val="00922E20"/>
    <w:rsid w:val="00924E57"/>
    <w:rsid w:val="00925AF3"/>
    <w:rsid w:val="00925F86"/>
    <w:rsid w:val="009320C6"/>
    <w:rsid w:val="00932283"/>
    <w:rsid w:val="00950676"/>
    <w:rsid w:val="00951313"/>
    <w:rsid w:val="00955E57"/>
    <w:rsid w:val="00974B9E"/>
    <w:rsid w:val="009823B6"/>
    <w:rsid w:val="009B19D5"/>
    <w:rsid w:val="009B5183"/>
    <w:rsid w:val="009B51E2"/>
    <w:rsid w:val="009F62E5"/>
    <w:rsid w:val="009F797D"/>
    <w:rsid w:val="00A144DD"/>
    <w:rsid w:val="00A51779"/>
    <w:rsid w:val="00A531CD"/>
    <w:rsid w:val="00A562EE"/>
    <w:rsid w:val="00A66DFB"/>
    <w:rsid w:val="00A67ABE"/>
    <w:rsid w:val="00AA7B6F"/>
    <w:rsid w:val="00AC0358"/>
    <w:rsid w:val="00AE387B"/>
    <w:rsid w:val="00AE46AD"/>
    <w:rsid w:val="00AE490C"/>
    <w:rsid w:val="00AF09FC"/>
    <w:rsid w:val="00AF7A34"/>
    <w:rsid w:val="00B05226"/>
    <w:rsid w:val="00B12994"/>
    <w:rsid w:val="00B3782D"/>
    <w:rsid w:val="00B47DD1"/>
    <w:rsid w:val="00B54BBC"/>
    <w:rsid w:val="00B67A63"/>
    <w:rsid w:val="00B77B0F"/>
    <w:rsid w:val="00B9140F"/>
    <w:rsid w:val="00B927E9"/>
    <w:rsid w:val="00B935D7"/>
    <w:rsid w:val="00B96B4F"/>
    <w:rsid w:val="00B96FA1"/>
    <w:rsid w:val="00BA2367"/>
    <w:rsid w:val="00BB7F1B"/>
    <w:rsid w:val="00BC1EDE"/>
    <w:rsid w:val="00BC78D5"/>
    <w:rsid w:val="00BD7CD0"/>
    <w:rsid w:val="00C40616"/>
    <w:rsid w:val="00C43B3A"/>
    <w:rsid w:val="00C56F9A"/>
    <w:rsid w:val="00C6069B"/>
    <w:rsid w:val="00C75F21"/>
    <w:rsid w:val="00C86380"/>
    <w:rsid w:val="00CA1BE6"/>
    <w:rsid w:val="00CA414D"/>
    <w:rsid w:val="00CB73F4"/>
    <w:rsid w:val="00CD561D"/>
    <w:rsid w:val="00CE2C3F"/>
    <w:rsid w:val="00CE4C76"/>
    <w:rsid w:val="00CF0991"/>
    <w:rsid w:val="00CF7E6A"/>
    <w:rsid w:val="00D00407"/>
    <w:rsid w:val="00D026B9"/>
    <w:rsid w:val="00D04255"/>
    <w:rsid w:val="00D07CF3"/>
    <w:rsid w:val="00D10EFD"/>
    <w:rsid w:val="00D1233F"/>
    <w:rsid w:val="00D13374"/>
    <w:rsid w:val="00D1384D"/>
    <w:rsid w:val="00D20696"/>
    <w:rsid w:val="00D3371D"/>
    <w:rsid w:val="00D373FF"/>
    <w:rsid w:val="00D57BE0"/>
    <w:rsid w:val="00D6088F"/>
    <w:rsid w:val="00D66370"/>
    <w:rsid w:val="00D7179E"/>
    <w:rsid w:val="00D7725D"/>
    <w:rsid w:val="00DA5C4A"/>
    <w:rsid w:val="00DC3E89"/>
    <w:rsid w:val="00E05BFC"/>
    <w:rsid w:val="00E138D3"/>
    <w:rsid w:val="00E41308"/>
    <w:rsid w:val="00E41A5B"/>
    <w:rsid w:val="00E47579"/>
    <w:rsid w:val="00E54D72"/>
    <w:rsid w:val="00E930DA"/>
    <w:rsid w:val="00E93269"/>
    <w:rsid w:val="00E9753F"/>
    <w:rsid w:val="00EA36A0"/>
    <w:rsid w:val="00EB707F"/>
    <w:rsid w:val="00EC6768"/>
    <w:rsid w:val="00EF2221"/>
    <w:rsid w:val="00F00B9D"/>
    <w:rsid w:val="00F042EF"/>
    <w:rsid w:val="00F15CCE"/>
    <w:rsid w:val="00F4068A"/>
    <w:rsid w:val="00F47E83"/>
    <w:rsid w:val="00F540DD"/>
    <w:rsid w:val="00F603CF"/>
    <w:rsid w:val="00F617D4"/>
    <w:rsid w:val="00F63008"/>
    <w:rsid w:val="00F64B17"/>
    <w:rsid w:val="00F73DD3"/>
    <w:rsid w:val="00F81430"/>
    <w:rsid w:val="00F869A2"/>
    <w:rsid w:val="00F966D6"/>
    <w:rsid w:val="00FA1085"/>
    <w:rsid w:val="00FA1B50"/>
    <w:rsid w:val="00FA40F6"/>
    <w:rsid w:val="00FC6576"/>
    <w:rsid w:val="00FD4A8B"/>
    <w:rsid w:val="00FE15AF"/>
    <w:rsid w:val="00FE5760"/>
    <w:rsid w:val="00FF16B6"/>
    <w:rsid w:val="00FF1B63"/>
    <w:rsid w:val="00FF67D5"/>
    <w:rsid w:val="00FF779B"/>
    <w:rsid w:val="02F768E7"/>
    <w:rsid w:val="03325420"/>
    <w:rsid w:val="0366615A"/>
    <w:rsid w:val="036907A8"/>
    <w:rsid w:val="0636411F"/>
    <w:rsid w:val="0754307B"/>
    <w:rsid w:val="07D35C7C"/>
    <w:rsid w:val="08F00D88"/>
    <w:rsid w:val="0B145001"/>
    <w:rsid w:val="0C9D6E25"/>
    <w:rsid w:val="0CA67941"/>
    <w:rsid w:val="0F5D3C10"/>
    <w:rsid w:val="0F9B3D6B"/>
    <w:rsid w:val="1023127D"/>
    <w:rsid w:val="1082145D"/>
    <w:rsid w:val="115F3E97"/>
    <w:rsid w:val="116A2462"/>
    <w:rsid w:val="123D6FF3"/>
    <w:rsid w:val="12B70337"/>
    <w:rsid w:val="14820C5D"/>
    <w:rsid w:val="14C572A4"/>
    <w:rsid w:val="152675A0"/>
    <w:rsid w:val="153D393D"/>
    <w:rsid w:val="15E845DA"/>
    <w:rsid w:val="17DE494D"/>
    <w:rsid w:val="18B23DB2"/>
    <w:rsid w:val="19062D8B"/>
    <w:rsid w:val="1AFD0AC2"/>
    <w:rsid w:val="1BEC3B90"/>
    <w:rsid w:val="1BF56838"/>
    <w:rsid w:val="1C5E7D50"/>
    <w:rsid w:val="1CE02951"/>
    <w:rsid w:val="1D6139A3"/>
    <w:rsid w:val="1D726837"/>
    <w:rsid w:val="1DC73C30"/>
    <w:rsid w:val="1DDF244B"/>
    <w:rsid w:val="1E0A3B59"/>
    <w:rsid w:val="1E311727"/>
    <w:rsid w:val="1E7B575B"/>
    <w:rsid w:val="1EC35EA0"/>
    <w:rsid w:val="1F8415B3"/>
    <w:rsid w:val="1FB460C6"/>
    <w:rsid w:val="1FF80BE6"/>
    <w:rsid w:val="206C080B"/>
    <w:rsid w:val="21281E18"/>
    <w:rsid w:val="2435645E"/>
    <w:rsid w:val="24666B18"/>
    <w:rsid w:val="249F28EC"/>
    <w:rsid w:val="25335B1C"/>
    <w:rsid w:val="2618230D"/>
    <w:rsid w:val="27730261"/>
    <w:rsid w:val="278D03E4"/>
    <w:rsid w:val="28A950AF"/>
    <w:rsid w:val="28D63BDE"/>
    <w:rsid w:val="2968102E"/>
    <w:rsid w:val="296B7995"/>
    <w:rsid w:val="2B6A78A7"/>
    <w:rsid w:val="2B7B4FD7"/>
    <w:rsid w:val="2BCF21DE"/>
    <w:rsid w:val="2C44336E"/>
    <w:rsid w:val="2CD176E7"/>
    <w:rsid w:val="2DA43E30"/>
    <w:rsid w:val="2E7528B0"/>
    <w:rsid w:val="2E9642C3"/>
    <w:rsid w:val="2E9B60FC"/>
    <w:rsid w:val="2EA164AD"/>
    <w:rsid w:val="2EFA105D"/>
    <w:rsid w:val="2F05098D"/>
    <w:rsid w:val="2FAE6ACB"/>
    <w:rsid w:val="30011437"/>
    <w:rsid w:val="30D275A6"/>
    <w:rsid w:val="3130041A"/>
    <w:rsid w:val="314E79C9"/>
    <w:rsid w:val="31636760"/>
    <w:rsid w:val="31EE78F8"/>
    <w:rsid w:val="31F96F23"/>
    <w:rsid w:val="33006BC6"/>
    <w:rsid w:val="35616368"/>
    <w:rsid w:val="357C3DF4"/>
    <w:rsid w:val="36BE3320"/>
    <w:rsid w:val="370D711E"/>
    <w:rsid w:val="3722078E"/>
    <w:rsid w:val="375B61A5"/>
    <w:rsid w:val="3829073D"/>
    <w:rsid w:val="39491A60"/>
    <w:rsid w:val="3B2E36FC"/>
    <w:rsid w:val="3E395151"/>
    <w:rsid w:val="3E557EE1"/>
    <w:rsid w:val="3EF97DEA"/>
    <w:rsid w:val="3FC517F1"/>
    <w:rsid w:val="40C960C3"/>
    <w:rsid w:val="414F00B1"/>
    <w:rsid w:val="42FF5F74"/>
    <w:rsid w:val="43561A47"/>
    <w:rsid w:val="43B931B1"/>
    <w:rsid w:val="448C2A67"/>
    <w:rsid w:val="46AF4088"/>
    <w:rsid w:val="46E15487"/>
    <w:rsid w:val="481221D6"/>
    <w:rsid w:val="485D65AC"/>
    <w:rsid w:val="486E382E"/>
    <w:rsid w:val="48C56EF1"/>
    <w:rsid w:val="4ADB1533"/>
    <w:rsid w:val="4AF33ECB"/>
    <w:rsid w:val="4B8218DF"/>
    <w:rsid w:val="4F521186"/>
    <w:rsid w:val="4F977CE7"/>
    <w:rsid w:val="502978A7"/>
    <w:rsid w:val="50876EC9"/>
    <w:rsid w:val="50FA1061"/>
    <w:rsid w:val="51166FE0"/>
    <w:rsid w:val="532414F9"/>
    <w:rsid w:val="53B10FCA"/>
    <w:rsid w:val="54433A9C"/>
    <w:rsid w:val="558B329E"/>
    <w:rsid w:val="55D97B95"/>
    <w:rsid w:val="55F006AF"/>
    <w:rsid w:val="56B83CD0"/>
    <w:rsid w:val="56C104A9"/>
    <w:rsid w:val="572B0B18"/>
    <w:rsid w:val="575C7878"/>
    <w:rsid w:val="5940216D"/>
    <w:rsid w:val="59FF6759"/>
    <w:rsid w:val="5A5B7568"/>
    <w:rsid w:val="5AE031A1"/>
    <w:rsid w:val="5B03528C"/>
    <w:rsid w:val="5B443592"/>
    <w:rsid w:val="5BC2156B"/>
    <w:rsid w:val="5C7261FC"/>
    <w:rsid w:val="5DF7493D"/>
    <w:rsid w:val="5E713EA3"/>
    <w:rsid w:val="5FB15C76"/>
    <w:rsid w:val="6142095A"/>
    <w:rsid w:val="61526CF6"/>
    <w:rsid w:val="62417810"/>
    <w:rsid w:val="635022A0"/>
    <w:rsid w:val="63943C8F"/>
    <w:rsid w:val="63C67CD9"/>
    <w:rsid w:val="64B00A94"/>
    <w:rsid w:val="650409C2"/>
    <w:rsid w:val="6575221A"/>
    <w:rsid w:val="66AD7E58"/>
    <w:rsid w:val="66D83C96"/>
    <w:rsid w:val="674D05FC"/>
    <w:rsid w:val="67737A14"/>
    <w:rsid w:val="67B1188E"/>
    <w:rsid w:val="67C81C26"/>
    <w:rsid w:val="683E0170"/>
    <w:rsid w:val="68D20F2C"/>
    <w:rsid w:val="68FA6154"/>
    <w:rsid w:val="691B2268"/>
    <w:rsid w:val="69663247"/>
    <w:rsid w:val="69705979"/>
    <w:rsid w:val="69A17A50"/>
    <w:rsid w:val="6A487F5C"/>
    <w:rsid w:val="6A794EA1"/>
    <w:rsid w:val="6A916B1C"/>
    <w:rsid w:val="6B0960F5"/>
    <w:rsid w:val="6B1561C2"/>
    <w:rsid w:val="6B231774"/>
    <w:rsid w:val="6B2613BE"/>
    <w:rsid w:val="6B3C63D9"/>
    <w:rsid w:val="6D113B7E"/>
    <w:rsid w:val="6D1224F5"/>
    <w:rsid w:val="6D84413C"/>
    <w:rsid w:val="6DC42F1C"/>
    <w:rsid w:val="6E1362DE"/>
    <w:rsid w:val="6E1B0CA5"/>
    <w:rsid w:val="6E1B54CA"/>
    <w:rsid w:val="6EE15ECD"/>
    <w:rsid w:val="6F2D31CA"/>
    <w:rsid w:val="6F625BAF"/>
    <w:rsid w:val="6FE70925"/>
    <w:rsid w:val="70A71E03"/>
    <w:rsid w:val="714B0A62"/>
    <w:rsid w:val="725F7D98"/>
    <w:rsid w:val="72D8304E"/>
    <w:rsid w:val="736E2860"/>
    <w:rsid w:val="74DB1283"/>
    <w:rsid w:val="74E1006F"/>
    <w:rsid w:val="75230BDB"/>
    <w:rsid w:val="755004F0"/>
    <w:rsid w:val="76053AAA"/>
    <w:rsid w:val="771F2DA2"/>
    <w:rsid w:val="77392A91"/>
    <w:rsid w:val="77495126"/>
    <w:rsid w:val="78301642"/>
    <w:rsid w:val="784D527D"/>
    <w:rsid w:val="794E319D"/>
    <w:rsid w:val="795B5C19"/>
    <w:rsid w:val="7B1274AA"/>
    <w:rsid w:val="7B5C4B0F"/>
    <w:rsid w:val="7C054FC1"/>
    <w:rsid w:val="7CA6084A"/>
    <w:rsid w:val="7D9E0BDA"/>
    <w:rsid w:val="7DA20534"/>
    <w:rsid w:val="7E4F69BB"/>
    <w:rsid w:val="7E730165"/>
    <w:rsid w:val="7EB459AC"/>
    <w:rsid w:val="7EEB2278"/>
    <w:rsid w:val="7F11021C"/>
    <w:rsid w:val="7F700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FA108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iPriority w:val="9"/>
    <w:unhideWhenUsed/>
    <w:qFormat/>
    <w:rsid w:val="00FA1085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1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1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A1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A1085"/>
    <w:rPr>
      <w:b/>
    </w:rPr>
  </w:style>
  <w:style w:type="character" w:styleId="a7">
    <w:name w:val="Hyperlink"/>
    <w:basedOn w:val="a0"/>
    <w:uiPriority w:val="99"/>
    <w:unhideWhenUsed/>
    <w:qFormat/>
    <w:rsid w:val="00FA108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A108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A10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3351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335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29F2A3-4104-46EF-8511-747B20CA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5</Pages>
  <Words>451</Words>
  <Characters>2576</Characters>
  <Application>Microsoft Office Word</Application>
  <DocSecurity>0</DocSecurity>
  <Lines>21</Lines>
  <Paragraphs>6</Paragraphs>
  <ScaleCrop>false</ScaleCrop>
  <Company>iTianKong.com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QPC</dc:creator>
  <cp:lastModifiedBy>QPC</cp:lastModifiedBy>
  <cp:revision>234</cp:revision>
  <cp:lastPrinted>2020-08-02T09:49:00Z</cp:lastPrinted>
  <dcterms:created xsi:type="dcterms:W3CDTF">2019-11-22T15:33:00Z</dcterms:created>
  <dcterms:modified xsi:type="dcterms:W3CDTF">2020-08-02T10:06:00Z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